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highlight w:val="none"/>
        </w:rPr>
      </w:pPr>
      <w:r/>
      <w:bookmarkStart w:id="1" w:name="anchor0"/>
      <w:r/>
      <w:bookmarkEnd w:id="1"/>
      <w:r/>
      <w:hyperlink r:id="rId10" w:tooltip="https://internet.garant.ru/document/redirect/17582040/0" w:history="1">
        <w:r>
          <w:t xml:space="preserve">Постановление Кабинета Министров Чувашской Республики от 12 декабря 2012 г. N 550"Об утверждении Порядка формирования Единого информационного ресурса об отдельных объектах недвижимого имущества, расположенных на территории Чувашской Республики"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3 марта, 9 декабря 2015 г., 14 апреля, 19 декабря 2016 г., 8 ноября 2017 г., 13 июня 2018 г., 25 декабря 2019 г., 8 июля 2020 г., 25 января 2023 г.</w:t>
      </w:r>
      <w:r/>
    </w:p>
    <w:p>
      <w:pPr>
        <w:pStyle w:val="685"/>
        <w:ind w:firstLine="0"/>
      </w:pPr>
      <w:r/>
      <w:r/>
    </w:p>
    <w:p>
      <w:pPr>
        <w:pStyle w:val="685"/>
      </w:pPr>
      <w:r/>
      <w:bookmarkStart w:id="2" w:name="anchor100"/>
      <w:r/>
      <w:bookmarkEnd w:id="2"/>
      <w:r>
        <w:t xml:space="preserve">В соответствии с </w:t>
      </w:r>
      <w:hyperlink r:id="rId11" w:tooltip="https://internet.garant.ru/document/redirect/17594980/0" w:history="1">
        <w:r>
          <w:t xml:space="preserve">Указом</w:t>
        </w:r>
      </w:hyperlink>
      <w:r>
        <w:t xml:space="preserve"> Главы Чувашской Республики от 15 октября 2012 г. N 114 "О дополнительных мерах по стимулированию развития жилищного строительства в Чувашской Республике", </w:t>
      </w:r>
      <w:r>
        <w:t xml:space="preserve">в целях активизации инвестиционного процесса и совершенствования регулирования земельных отношений, а также эффективного управления и распоряжения недвижимым имуществом на территории Чувашской Республики Кабинет Министров Чувашской Республики постановляет:</w:t>
      </w:r>
      <w:r/>
    </w:p>
    <w:p>
      <w:pPr>
        <w:pStyle w:val="685"/>
      </w:pPr>
      <w:r/>
      <w:bookmarkStart w:id="3" w:name="anchor1"/>
      <w:r/>
      <w:bookmarkEnd w:id="3"/>
      <w:r>
        <w:t xml:space="preserve">1. Утвердить прилагаемый </w:t>
      </w:r>
      <w:hyperlink r:id="rId12" w:tooltip="#anchor1000" w:history="1">
        <w:r>
          <w:t xml:space="preserve">Порядок</w:t>
        </w:r>
      </w:hyperlink>
      <w:r>
        <w:t xml:space="preserve"> формирования Единого информационного ресурса об отдельных объектах недвижимого имущества, расположенных на территории Чувашской Республики.</w:t>
      </w:r>
      <w:r/>
    </w:p>
    <w:p>
      <w:pPr>
        <w:pStyle w:val="685"/>
      </w:pPr>
      <w:r/>
      <w:bookmarkStart w:id="4" w:name="anchor2"/>
      <w:r/>
      <w:bookmarkEnd w:id="4"/>
      <w:r>
        <w:t xml:space="preserve">2. Рекомендовать администрациям муниципальных округов и городских ок</w:t>
      </w:r>
      <w:r>
        <w:t xml:space="preserve">ругов Чувашской Республики ежеквартально до 15 числа месяца, следующего за отчетным периодом, представлять для включения в Единый информационный ресурс об отдельных объектах недвижимого имущества, расположенных на территории Чувашской Республики, сведения:</w:t>
      </w:r>
      <w:r/>
    </w:p>
    <w:p>
      <w:pPr>
        <w:pStyle w:val="685"/>
      </w:pPr>
      <w:r/>
      <w:bookmarkStart w:id="5" w:name="anchor22"/>
      <w:r/>
      <w:bookmarkEnd w:id="5"/>
      <w:r>
        <w:t xml:space="preserve">в Министерство экономического развития и имущественных отношений Чувашской Республики:</w:t>
      </w:r>
      <w:r/>
    </w:p>
    <w:p>
      <w:pPr>
        <w:pStyle w:val="685"/>
      </w:pPr>
      <w:r>
        <w:t xml:space="preserve">о земельных участках, находящихся в муниципальной собственности, а также государственная собственность на которые не разграничена, предлагаемых для формирования перечня свободных от застройки земельных участ</w:t>
      </w:r>
      <w:r>
        <w:t xml:space="preserve">ков, расположенных на территории Чувашской Республики, за исключением земельных участков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целей;</w:t>
      </w:r>
      <w:r/>
    </w:p>
    <w:p>
      <w:pPr>
        <w:pStyle w:val="685"/>
      </w:pPr>
      <w:r>
        <w:t xml:space="preserve">об объектах капитального строительства и земельных участках под ними, на</w:t>
      </w:r>
      <w:r>
        <w:t xml:space="preserve">ходящихся в муниципальной собственности, свободных от прав третьих лиц, предлагаемых для формирования перечня свободных от прав третьих лиц объектов капитального строительства и земельных участков под ними, расположенных на территории Чувашской Республики;</w:t>
      </w:r>
      <w:r/>
    </w:p>
    <w:p>
      <w:pPr>
        <w:pStyle w:val="685"/>
      </w:pPr>
      <w:r>
        <w:t xml:space="preserve">в Министерство сельского хозяйства Чувашской Республики о земельных участках, находящихся в муниципальной собственности, а также государственная собственность на которые не разграничена, предлагаемых для формирования перечня сво</w:t>
      </w:r>
      <w:r>
        <w:t xml:space="preserve">бодных от застройки земельных участков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целей, расположенных на территории Чувашской Республики.</w:t>
      </w:r>
      <w:r/>
    </w:p>
    <w:p>
      <w:pPr>
        <w:pStyle w:val="685"/>
      </w:pPr>
      <w:r/>
      <w:bookmarkStart w:id="6" w:name="anchor3"/>
      <w:r/>
      <w:bookmarkEnd w:id="6"/>
      <w:r>
        <w:t xml:space="preserve">3. Настоящее постановление вступает в силу через десять дней после дня его </w:t>
      </w:r>
      <w:hyperlink r:id="rId13" w:tooltip="https://internet.garant.ru/document/redirect/17582041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Председатель Кабинета МинистровЧувашской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И. Моторин</w:t>
            </w:r>
            <w:r/>
          </w:p>
        </w:tc>
      </w:tr>
    </w:tbl>
    <w:p>
      <w:pPr>
        <w:pStyle w:val="685"/>
      </w:pPr>
      <w:r/>
      <w:r/>
    </w:p>
    <w:p>
      <w:pPr>
        <w:pStyle w:val="685"/>
        <w:ind w:left="0" w:right="0" w:firstLine="0"/>
        <w:jc w:val="center"/>
      </w:pPr>
      <w:r/>
      <w:bookmarkStart w:id="7" w:name="anchor1000"/>
      <w:r/>
      <w:bookmarkEnd w:id="7"/>
      <w:r>
        <w:rPr>
          <w:b/>
          <w:color w:val="26282f"/>
        </w:rPr>
        <w:t xml:space="preserve">Утвержден</w:t>
      </w:r>
      <w:r/>
    </w:p>
    <w:p>
      <w:pPr>
        <w:pStyle w:val="685"/>
        <w:ind w:left="0" w:right="0" w:firstLine="0"/>
        <w:jc w:val="center"/>
      </w:pPr>
      <w:r>
        <w:rPr>
          <w:b/>
          <w:color w:val="26282f"/>
        </w:rPr>
      </w:r>
      <w:hyperlink r:id="rId14" w:tooltip="#anchor0" w:history="1">
        <w:r>
          <w:rPr>
            <w:b/>
            <w:color w:val="26282f"/>
          </w:rPr>
          <w:t xml:space="preserve">постановлением</w:t>
        </w:r>
      </w:hyperlink>
      <w:r>
        <w:rPr>
          <w:b/>
          <w:color w:val="26282f"/>
        </w:rPr>
        <w:t xml:space="preserve"> Кабинета МинистровЧувашской Республикиот 12 декабря 2012 г. N 550</w:t>
      </w:r>
      <w:r/>
    </w:p>
    <w:p>
      <w:pPr>
        <w:pStyle w:val="685"/>
        <w:jc w:val="center"/>
      </w:pPr>
      <w:r/>
      <w:r/>
    </w:p>
    <w:p>
      <w:pPr>
        <w:pStyle w:val="687"/>
        <w:jc w:val="center"/>
      </w:pPr>
      <w:r>
        <w:t xml:space="preserve">Порядок формирования Единого информационного ресурса об отдельных объектах недвижимого имущества, расположенных на территории Чувашской Республики</w:t>
      </w:r>
      <w:r/>
    </w:p>
    <w:p>
      <w:pPr>
        <w:pStyle w:val="685"/>
      </w:pPr>
      <w:r/>
      <w:r/>
    </w:p>
    <w:p>
      <w:pPr>
        <w:pStyle w:val="685"/>
      </w:pPr>
      <w:r/>
      <w:bookmarkStart w:id="8" w:name="anchor1001"/>
      <w:r/>
      <w:bookmarkEnd w:id="8"/>
      <w:r>
        <w:t xml:space="preserve">1. Настоящий Порядок определяет процедуру формирования Единого информационного ресурса об отдельных объектах недвижимого имущества, расположенных на территории Чувашской Республики (далее - Единый информационный ресурс).</w:t>
      </w:r>
      <w:r/>
    </w:p>
    <w:p>
      <w:pPr>
        <w:pStyle w:val="685"/>
      </w:pPr>
      <w:r/>
      <w:bookmarkStart w:id="9" w:name="anchor1002"/>
      <w:r/>
      <w:bookmarkEnd w:id="9"/>
      <w:r>
        <w:t xml:space="preserve">2. Единый информационный ресурс включает в себя:</w:t>
      </w:r>
      <w:r/>
    </w:p>
    <w:p>
      <w:pPr>
        <w:pStyle w:val="685"/>
      </w:pPr>
      <w:r>
        <w:t xml:space="preserve">информационный ресурс о свободных от застройки земельных участ</w:t>
      </w:r>
      <w:r>
        <w:t xml:space="preserve">ках, расположенных на территории Чувашской Республики, за исключением земельных участков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целей;</w:t>
      </w:r>
      <w:r/>
    </w:p>
    <w:p>
      <w:pPr>
        <w:pStyle w:val="685"/>
      </w:pPr>
      <w:r>
        <w:t xml:space="preserve">информационный ресурс о сво</w:t>
      </w:r>
      <w:r>
        <w:t xml:space="preserve">бодных от застройки земельных участках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целей, расположенных на территории Чувашской Республики;</w:t>
      </w:r>
      <w:r/>
    </w:p>
    <w:p>
      <w:pPr>
        <w:pStyle w:val="685"/>
      </w:pPr>
      <w:r>
        <w:t xml:space="preserve">информационный ресурс о свободных от прав третьих лиц объектах капитального строительства и земельных участках под ними, расположенных на территории Чувашской Республики.</w:t>
      </w:r>
      <w:r/>
    </w:p>
    <w:p>
      <w:pPr>
        <w:pStyle w:val="685"/>
      </w:pPr>
      <w:r/>
      <w:bookmarkStart w:id="10" w:name="anchor1003"/>
      <w:r/>
      <w:bookmarkEnd w:id="10"/>
      <w:r>
        <w:t xml:space="preserve">3. Единый информационный ресурс формируется в целях:</w:t>
      </w:r>
      <w:r/>
    </w:p>
    <w:p>
      <w:pPr>
        <w:pStyle w:val="685"/>
      </w:pPr>
      <w:r>
        <w:t xml:space="preserve">повышения эффективности использования недвижимого имущества, расположенного на территории Чувашской Республики;</w:t>
      </w:r>
      <w:r/>
    </w:p>
    <w:p>
      <w:pPr>
        <w:pStyle w:val="685"/>
      </w:pPr>
      <w:r>
        <w:t xml:space="preserve">обеспечения сохранения и вовлечения в хозяйственный оборот недвижимого имущества в соответствии с законодательством Российской Федерации и законодательством Чувашской Республики;</w:t>
      </w:r>
      <w:r/>
    </w:p>
    <w:p>
      <w:pPr>
        <w:pStyle w:val="685"/>
      </w:pPr>
      <w:r/>
      <w:bookmarkStart w:id="11" w:name="anchor34"/>
      <w:r/>
      <w:bookmarkEnd w:id="11"/>
      <w:r>
        <w:t xml:space="preserve">обеспечения для всех заинтересованных лиц доступа к информации о земельных участках, расположенных на территории Чувашской Республики, предназначенных для ст</w:t>
      </w:r>
      <w:r>
        <w:t xml:space="preserve">роительства стандартного жилья, в том числе для комплексного освоения территории в целях строительства такого жилья, а также размещения объектов, предназначенных для создания промышленных парков, технопарков, бизнес-инкубаторов и иного развития территорий;</w:t>
      </w:r>
      <w:r/>
    </w:p>
    <w:p>
      <w:pPr>
        <w:pStyle w:val="685"/>
      </w:pPr>
      <w:r>
        <w:t xml:space="preserve">привлечения инвестиций и стимулирования предпринимательской деятельности на территории Чувашской Республики;</w:t>
      </w:r>
      <w:r/>
    </w:p>
    <w:p>
      <w:pPr>
        <w:pStyle w:val="685"/>
      </w:pPr>
      <w:r/>
      <w:bookmarkStart w:id="12" w:name="anchor306"/>
      <w:r/>
      <w:bookmarkEnd w:id="12"/>
      <w:r>
        <w:t xml:space="preserve">обеспечения для всех заинтересованных лиц доступа к информации о сво</w:t>
      </w:r>
      <w:r>
        <w:t xml:space="preserve">бодных от застройки земельных участках из земель сельскохозяйственного назначения, расположенных на территории Чувашской Республики, предназначенных для ведения сельскохозяйственного производства и иных связанных с сельскохозяйственным производством целей;</w:t>
      </w:r>
      <w:r/>
    </w:p>
    <w:p>
      <w:pPr>
        <w:pStyle w:val="685"/>
      </w:pPr>
      <w:r/>
      <w:bookmarkStart w:id="13" w:name="anchor36"/>
      <w:r/>
      <w:bookmarkEnd w:id="13"/>
      <w:r>
        <w:t xml:space="preserve">обеспечения для всех заинтересованных лиц доступа к информации о свободных от прав третьих лиц объектах капитального строительства и земельных участках под ними, расположенных на территории Чувашской Республики.</w:t>
      </w:r>
      <w:r/>
    </w:p>
    <w:p>
      <w:pPr>
        <w:pStyle w:val="685"/>
      </w:pPr>
      <w:r/>
      <w:bookmarkStart w:id="14" w:name="anchor1004"/>
      <w:r/>
      <w:bookmarkEnd w:id="14"/>
      <w:r>
        <w:t xml:space="preserve">4. Уполномоченным органом по ведению Единого информационного ресурса является Министерство экономического развития и имущественных отношений Чувашской Республики (далее - уполномоченный орган).</w:t>
      </w:r>
      <w:r/>
    </w:p>
    <w:p>
      <w:pPr>
        <w:pStyle w:val="685"/>
      </w:pPr>
      <w:r/>
      <w:bookmarkStart w:id="15" w:name="anchor1005"/>
      <w:r/>
      <w:bookmarkEnd w:id="15"/>
      <w:r>
        <w:t xml:space="preserve">5. Единый информационный ресурс содержит сведения:</w:t>
      </w:r>
      <w:r/>
    </w:p>
    <w:p>
      <w:pPr>
        <w:pStyle w:val="685"/>
      </w:pPr>
      <w:r/>
      <w:bookmarkStart w:id="16" w:name="anchor502"/>
      <w:r/>
      <w:bookmarkEnd w:id="16"/>
      <w:r>
        <w:t xml:space="preserve">о свободных от застройк</w:t>
      </w:r>
      <w:r>
        <w:t xml:space="preserve">и земельных участках, находящихся в государственной собственности Чувашской Республики, муниципальной собственности, а также государственная собственность на которые не разграничена, предназначенных для строительства стандартного жилья, в том числе для ком</w:t>
      </w:r>
      <w:r>
        <w:t xml:space="preserve">плексного освоения территории в целях строительства такого жилья, а также размещения объектов, предназначенных для создания промышленных парков, технопарков, бизнес-инкубаторов и иного развития территорий (далее - информационный ресурс земельных участков);</w:t>
      </w:r>
      <w:r/>
    </w:p>
    <w:p>
      <w:pPr>
        <w:pStyle w:val="685"/>
      </w:pPr>
      <w:r/>
      <w:bookmarkStart w:id="17" w:name="anchor503"/>
      <w:r/>
      <w:bookmarkEnd w:id="17"/>
      <w:r>
        <w:t xml:space="preserve">о свободных от застройки земельных участках из земель сельскохозяйственного назначения, находящихся в государственной собственности Чувашской Республики, муниципальной собственности, а также государственная соб</w:t>
      </w:r>
      <w:r>
        <w:t xml:space="preserve">ственность на которые не разграничена, предназначенных для ведения сельскохозяйственного производства и иных связанных с сельскохозяйственным производством целей (далее - информационный ресурс земельных участков из земель сельскохозяйственного назначения);</w:t>
      </w:r>
      <w:r/>
    </w:p>
    <w:p>
      <w:pPr>
        <w:pStyle w:val="685"/>
      </w:pPr>
      <w:r/>
      <w:bookmarkStart w:id="18" w:name="anchor53"/>
      <w:r/>
      <w:bookmarkEnd w:id="18"/>
      <w:r>
        <w:t xml:space="preserve">об объектах капитального строительства </w:t>
      </w:r>
      <w:r>
        <w:t xml:space="preserve">и земельных участках под ними, расположенных на территории Чувашской Республики, свободных от прав третьих лиц, не закрепленных за государственными унитарными предприятиями Чувашской Республики и государственными учреждениями Чувашской Республики (муниципа</w:t>
      </w:r>
      <w:r>
        <w:t xml:space="preserve">льными унитарными предприятиями и муниципальными учреждениями), которые возможно предоставить в установленном законодательством Российской Федерации порядке физическим и юридическим лицам (далее - информационный ресурс объектов капитального строительства).</w:t>
      </w:r>
      <w:r/>
    </w:p>
    <w:p>
      <w:pPr>
        <w:pStyle w:val="685"/>
      </w:pPr>
      <w:r/>
      <w:bookmarkStart w:id="19" w:name="anchor54"/>
      <w:r/>
      <w:bookmarkEnd w:id="19"/>
      <w:r>
        <w:t xml:space="preserve">Земельные участки, сведения о которых содержатся в информационном ресурсе земельных участков, и земельные участки из земель сельскохозяйственного назначения, сведения о</w:t>
      </w:r>
      <w:r>
        <w:t xml:space="preserve"> которых содержатся в информационном ресурсе земельных участков из земель сельскохозяйственного назначения, должны быть сформированы для соответствующих целей в соответствии с законодательством Российской Федерации и законодательством Чувашской Республики.</w:t>
      </w:r>
      <w:r/>
    </w:p>
    <w:p>
      <w:pPr>
        <w:pStyle w:val="685"/>
      </w:pPr>
      <w:r/>
      <w:bookmarkStart w:id="20" w:name="anchor1006"/>
      <w:r/>
      <w:bookmarkEnd w:id="20"/>
      <w:r>
        <w:t xml:space="preserve">6. Информационный ресурс земельных участков формируется:</w:t>
      </w:r>
      <w:r/>
    </w:p>
    <w:p>
      <w:pPr>
        <w:pStyle w:val="685"/>
      </w:pPr>
      <w:r/>
      <w:bookmarkStart w:id="21" w:name="anchor62"/>
      <w:r/>
      <w:bookmarkEnd w:id="21"/>
      <w:r>
        <w:t xml:space="preserve">в отношении свободных от застройки земельных участков, находящихся в государственной</w:t>
      </w:r>
      <w:r>
        <w:t xml:space="preserve"> собственности Чувашской Республики, за исключением земельных участков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целей, в соответствии с </w:t>
      </w:r>
      <w:hyperlink r:id="rId15" w:tooltip="https://internet.garant.ru/document/redirect/17594898/2000" w:history="1">
        <w:r>
          <w:t xml:space="preserve">Порядком</w:t>
        </w:r>
      </w:hyperlink>
      <w:r>
        <w:t xml:space="preserve"> взаимодействия органов исполнительной власти Чувашской Республики по определению эффективности использования государственными учреждениями Чувашской Республики, казенными предприятиями Ч</w:t>
      </w:r>
      <w:r>
        <w:t xml:space="preserve">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 праве постоянного (бессрочного) пользования и аренды, утвержденным </w:t>
      </w:r>
      <w:hyperlink r:id="rId16" w:tooltip="https://internet.garant.ru/document/redirect/17594898/0" w:history="1">
        <w:r>
          <w:t xml:space="preserve">постановлением</w:t>
        </w:r>
      </w:hyperlink>
      <w:r>
        <w:t xml:space="preserve"> Кабинета Министров Чувашской Республики от 10 октября 2012 г. N 427 (далее - Порядок взаимодействия);</w:t>
      </w:r>
      <w:r/>
    </w:p>
    <w:p>
      <w:pPr>
        <w:pStyle w:val="685"/>
      </w:pPr>
      <w:r/>
      <w:bookmarkStart w:id="22" w:name="anchor63"/>
      <w:r/>
      <w:bookmarkEnd w:id="22"/>
      <w:r>
        <w:t xml:space="preserve">в отношении свободных от застройки земельных участков, предназначенн</w:t>
      </w:r>
      <w:r>
        <w:t xml:space="preserve">ых для строительства стандартного жилья, в том числе для комплексного освоения территории в целях строительства такого жилья, а также размещения объектов, предназначенных для создания промышленных парков, технопарков, бизнес-инкубаторов и иного развития те</w:t>
      </w:r>
      <w:r>
        <w:t xml:space="preserve">рриторий, которые находятся в муниципальной собственности, а также государственная собственность на которые не разграничена, за исключением земельных участков из земель сельскохозяйственного назначения, предназначенных для ведения сельскохозяйственного про</w:t>
      </w:r>
      <w:r>
        <w:t xml:space="preserve">изводства и иных связанных с сельскохозяйственным производством целей, на основании перечней, поступающих от администраций муниципальных округов и городских округов Чувашской Республики (далее - перечень земельных участков), составленных по форме согласно </w:t>
      </w:r>
      <w:hyperlink r:id="rId17" w:tooltip="#anchor10000" w:history="1">
        <w:r>
          <w:t xml:space="preserve">приложению N 1</w:t>
        </w:r>
      </w:hyperlink>
      <w:r>
        <w:t xml:space="preserve"> к настоящему Порядку, и предложений Министерства строительства, архитектуры и жилищно-коммунального хозяйства Чувашской Республики (далее - Минстрой Чувашии), предусмотренных </w:t>
      </w:r>
      <w:hyperlink r:id="rId18" w:tooltip="#anchor1009" w:history="1">
        <w:r>
          <w:t xml:space="preserve">пунктом 9</w:t>
        </w:r>
      </w:hyperlink>
      <w:r>
        <w:t xml:space="preserve"> настоящего Порядка.</w:t>
      </w:r>
      <w:r/>
    </w:p>
    <w:p>
      <w:pPr>
        <w:pStyle w:val="685"/>
      </w:pPr>
      <w:r/>
      <w:bookmarkStart w:id="23" w:name="anchor1007"/>
      <w:r/>
      <w:bookmarkEnd w:id="23"/>
      <w:r>
        <w:t xml:space="preserve">7. Информационный ресурс объектов капитального строительства формируется:</w:t>
      </w:r>
      <w:r/>
    </w:p>
    <w:p>
      <w:pPr>
        <w:pStyle w:val="685"/>
      </w:pPr>
      <w:r>
        <w:t xml:space="preserve">в отношении свободных от прав третьих лиц объектов капитального строительства и земельных участков под ними, находящихся в</w:t>
      </w:r>
      <w:r>
        <w:t xml:space="preserve"> государственной собственности Чувашской Республики, которые возможно предоставить в установленном законодательством Российской Федерации порядке физическим и юридическим лицам, на основании сведений реестра государственного имущества Чувашской Республики;</w:t>
      </w:r>
      <w:r/>
    </w:p>
    <w:p>
      <w:pPr>
        <w:pStyle w:val="685"/>
      </w:pPr>
      <w:r/>
      <w:bookmarkStart w:id="24" w:name="anchor10073"/>
      <w:r/>
      <w:bookmarkEnd w:id="24"/>
      <w:r>
        <w:t xml:space="preserve">в отношении свободных от прав третьих лиц объектов капитального строительства и земельных участков под ними, находящихся в муниципальной собственности, которые возможно предоставить в установленном законодательством Российс</w:t>
      </w:r>
      <w:r>
        <w:t xml:space="preserve">кой Федерации порядке физическим и юридическим лицам, на основании перечней, поступающих от администраций муниципальных округов и городских округов Чувашской Республики (далее - перечень объектов капитального строительства), составленных по форме согласно </w:t>
      </w:r>
      <w:hyperlink r:id="rId19" w:tooltip="#anchor2000" w:history="1">
        <w:r>
          <w:t xml:space="preserve">приложению N 2</w:t>
        </w:r>
      </w:hyperlink>
      <w:r>
        <w:t xml:space="preserve"> к настоящему Порядку.</w:t>
      </w:r>
      <w:r/>
    </w:p>
    <w:p>
      <w:pPr>
        <w:pStyle w:val="685"/>
      </w:pPr>
      <w:r/>
      <w:bookmarkStart w:id="25" w:name="anchor1071"/>
      <w:r/>
      <w:bookmarkEnd w:id="25"/>
      <w:r>
        <w:t xml:space="preserve">7.1. Информационный ресурс земельных участков из земель сельскохозяйственного назначения формируется:</w:t>
      </w:r>
      <w:r/>
    </w:p>
    <w:p>
      <w:pPr>
        <w:pStyle w:val="685"/>
      </w:pPr>
      <w:r>
        <w:t xml:space="preserve">в отношении свободных от застройки земельных участков из земель сельскохозяйственного назначения, находящихся в</w:t>
      </w:r>
      <w:r>
        <w:t xml:space="preserve"> государственной собственности Чувашской Республики, которые возможно предоставить в установленном законодательством Российской Федерации порядке физическим и юридическим лицам, на основании сведений реестра государственного имущества Чувашской Республики;</w:t>
      </w:r>
      <w:r/>
    </w:p>
    <w:p>
      <w:pPr>
        <w:pStyle w:val="685"/>
      </w:pPr>
      <w:r>
        <w:t xml:space="preserve">в отношении свободных от застройки земельных участков из земель сельскохозяйственного назначения, находящихся в муниципальной собственности, а также государственная собственность на которые не разграничена, на осно</w:t>
      </w:r>
      <w:r>
        <w:t xml:space="preserve">вании сводного перечня земельных участков, предлагаемых для включения в информационный ресурс земельных участков из земель сельскохозяйственного назначения, поступающего от Министерства сельского хозяйства Чувашской Республики (далее - Минсельхоз Чувашии).</w:t>
      </w:r>
      <w:r/>
    </w:p>
    <w:p>
      <w:pPr>
        <w:pStyle w:val="685"/>
      </w:pPr>
      <w:r/>
      <w:bookmarkStart w:id="26" w:name="anchor1008"/>
      <w:r/>
      <w:bookmarkEnd w:id="26"/>
      <w:r>
        <w:t xml:space="preserve">8. Упо</w:t>
      </w:r>
      <w:r>
        <w:t xml:space="preserve">лномоченный орган в течение 10 рабочих дней со дня получения перечней от администраций муниципальных округов и городских округов Чувашской Республики формирует сводные перечень земельных участков и перечень объектов капитального строительства и направляет:</w:t>
      </w:r>
      <w:r/>
    </w:p>
    <w:p>
      <w:pPr>
        <w:pStyle w:val="685"/>
      </w:pPr>
      <w:r>
        <w:t xml:space="preserve">сводный перечень земельных участков - в Минстрой Чувашии;</w:t>
      </w:r>
      <w:r/>
    </w:p>
    <w:p>
      <w:pPr>
        <w:pStyle w:val="685"/>
      </w:pPr>
      <w:r>
        <w:t xml:space="preserve">сводный перечень объектов капитального строительства - в органы исполнительной власти Чувашской Республики.</w:t>
      </w:r>
      <w:r/>
    </w:p>
    <w:p>
      <w:pPr>
        <w:pStyle w:val="685"/>
      </w:pPr>
      <w:r/>
      <w:bookmarkStart w:id="27" w:name="anchor1009"/>
      <w:r/>
      <w:bookmarkEnd w:id="27"/>
      <w:r>
        <w:t xml:space="preserve">9. Минстрой Чув</w:t>
      </w:r>
      <w:r>
        <w:t xml:space="preserve">ашии в месячный срок со дня получения сводного перечня земельных участков осуществляет подготовку предложений о целесообразности строительства на них стандартного жилья, в том числе комплексного освоения территории в целях строительства такого жилья, а так</w:t>
      </w:r>
      <w:r>
        <w:t xml:space="preserve">же размещения объектов, предназначенных для создания промышленных парков, технопарков, бизнес-инкубаторов и иного развития территорий, по каждому земельному участку, включенному в сводный перечень земельных участков, и направляет их в уполномоченный орган.</w:t>
      </w:r>
      <w:r/>
    </w:p>
    <w:p>
      <w:pPr>
        <w:pStyle w:val="685"/>
      </w:pPr>
      <w:r/>
      <w:bookmarkStart w:id="28" w:name="anchor1010"/>
      <w:r/>
      <w:bookmarkEnd w:id="28"/>
      <w:r>
        <w:t xml:space="preserve">10. Органы исполнительной власти Чувашской Республики в течение 10 рабочих дней со дня получения сводного перечня объектов капи</w:t>
      </w:r>
      <w:r>
        <w:t xml:space="preserve">тального строительства представляют в уполномоченный орган предложения об их использовании (отсутствии необходимости использования) при осуществлении полномочий органами исполнительной власти Чувашской Республики и организациями, находящимися в их ведении.</w:t>
      </w:r>
      <w:r/>
    </w:p>
    <w:p>
      <w:pPr>
        <w:pStyle w:val="685"/>
      </w:pPr>
      <w:r/>
      <w:bookmarkStart w:id="29" w:name="anchor10102"/>
      <w:r/>
      <w:bookmarkEnd w:id="29"/>
      <w:r>
        <w:t xml:space="preserve">Уполномоченный орган в срок, не превышающий 15 рабочих дней с даты поступления предложений от органов исполнительной власти Чувашской Республики, осуществляет подг</w:t>
      </w:r>
      <w:r>
        <w:t xml:space="preserve">отовку предложений о целесообразности (нецелесообразности) использования объектов капитального строительства в инвестиционной или предпринимательской деятельности и внесения соответствующих дополнений в сводный перечень объектов капитального строительства.</w:t>
      </w:r>
      <w:r/>
    </w:p>
    <w:p>
      <w:pPr>
        <w:pStyle w:val="685"/>
      </w:pPr>
      <w:r/>
      <w:bookmarkStart w:id="30" w:name="anchor10103"/>
      <w:r/>
      <w:bookmarkEnd w:id="30"/>
      <w:r>
        <w:t xml:space="preserve">Абзац утратил силу с 8 июля 2020 г. - </w:t>
      </w:r>
      <w:hyperlink r:id="rId20" w:tooltip="https://internet.garant.ru/document/redirect/74351078/14" w:history="1">
        <w:r>
          <w:t xml:space="preserve">Постановление</w:t>
        </w:r>
      </w:hyperlink>
      <w:r>
        <w:t xml:space="preserve"> Кабинета Министров Чувашской Республики от 8 июля 2020 г. N 371</w:t>
      </w:r>
      <w:r/>
    </w:p>
    <w:p>
      <w:pPr>
        <w:pStyle w:val="685"/>
      </w:pPr>
      <w:r/>
      <w:bookmarkStart w:id="31" w:name="anchor10101"/>
      <w:r/>
      <w:bookmarkEnd w:id="31"/>
      <w:r>
        <w:t xml:space="preserve">10.1. Минсельхоз Чувашии в месячный срок со дня получения перечней, поступивших от администраций муниципальных округов и городских округов Чувашской Республики, составленных по форме согласно </w:t>
      </w:r>
      <w:hyperlink r:id="rId21" w:tooltip="#anchor3000" w:history="1">
        <w:r>
          <w:t xml:space="preserve">приложению N 3</w:t>
        </w:r>
      </w:hyperlink>
      <w:r>
        <w:t xml:space="preserve"> к настоящему Порядку, осуществляет подготовку предложений о виде разрешенного использования по каждому земельно</w:t>
      </w:r>
      <w:r>
        <w:t xml:space="preserve">му участку из земель сельскохозяйственного назначения, формирует сводный перечень земельных участков, предлагаемых для включения в информационный ресурс земельных участков из земель сельскохозяйственного назначения, и направляет его в уполномоченный орган.</w:t>
      </w:r>
      <w:r/>
    </w:p>
    <w:p>
      <w:pPr>
        <w:pStyle w:val="685"/>
      </w:pPr>
      <w:r/>
      <w:bookmarkStart w:id="32" w:name="anchor1011"/>
      <w:r/>
      <w:bookmarkEnd w:id="32"/>
      <w:r>
        <w:t xml:space="preserve">11. Уполномоч</w:t>
      </w:r>
      <w:r>
        <w:t xml:space="preserve">енный орган вносит в Единый информационный ресурс сведения о недвижимом имуществе, расположенном на территории Чувашской Республики, не позднее 15 рабочих дней со дня получения предложений от органов исполнительной власти Чувашской Республики, указанных в </w:t>
      </w:r>
      <w:hyperlink r:id="rId22" w:tooltip="#anchor1009" w:history="1">
        <w:r>
          <w:t xml:space="preserve">пунктах 9</w:t>
        </w:r>
      </w:hyperlink>
      <w:r>
        <w:t xml:space="preserve"> и </w:t>
      </w:r>
      <w:hyperlink r:id="rId23" w:tooltip="#anchor10101" w:history="1">
        <w:r>
          <w:t xml:space="preserve">10.1</w:t>
        </w:r>
      </w:hyperlink>
      <w:r>
        <w:t xml:space="preserve"> настоящего Порядка и </w:t>
      </w:r>
      <w:hyperlink r:id="rId24" w:tooltip="https://internet.garant.ru/document/redirect/17594898/2000" w:history="1">
        <w:r>
          <w:t xml:space="preserve">Порядке</w:t>
        </w:r>
      </w:hyperlink>
      <w:r>
        <w:t xml:space="preserve"> взаимодействия, а также со дня по</w:t>
      </w:r>
      <w:r>
        <w:t xml:space="preserve">дготовки предложений о целесообразности использования объектов капитального строительства в инвестиционной или предпринимательской деятельности и внесения соответствующих дополнений в сводный перечень объектов капитального строительства, предусмотренных в </w:t>
      </w:r>
      <w:hyperlink r:id="rId25" w:tooltip="#anchor10102" w:history="1">
        <w:r>
          <w:t xml:space="preserve">абзаце втором пункта 10</w:t>
        </w:r>
      </w:hyperlink>
      <w:r>
        <w:t xml:space="preserve"> настоящего Порядка.</w:t>
      </w:r>
      <w:r/>
    </w:p>
    <w:p>
      <w:pPr>
        <w:pStyle w:val="685"/>
      </w:pPr>
      <w:r/>
      <w:bookmarkStart w:id="33" w:name="anchor1012"/>
      <w:r/>
      <w:bookmarkEnd w:id="33"/>
      <w:r>
        <w:t xml:space="preserve">12. Единый информационный ресурс размещается на официальном сайте уполномоченного органа на </w:t>
      </w:r>
      <w:hyperlink r:id="rId26" w:tooltip="https://www.cap.ru/" w:history="1">
        <w:r>
          <w:t xml:space="preserve">Портале</w:t>
        </w:r>
      </w:hyperlink>
      <w:r>
        <w:t xml:space="preserve"> органов власти Чувашской Республики в информационно-телекоммуникационной сети "Интернет".</w:t>
      </w:r>
      <w:r/>
    </w:p>
    <w:p>
      <w:pPr>
        <w:pStyle w:val="685"/>
      </w:pPr>
      <w:r/>
      <w:bookmarkStart w:id="34" w:name="anchor1013"/>
      <w:r/>
      <w:bookmarkEnd w:id="34"/>
      <w:r>
        <w:t xml:space="preserve">13. Уполномоченный орган осуществляет мониторинг освоения объектов недвижимости, внесенных в Единый информационный ресурс.</w:t>
      </w:r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  <w:ind w:firstLine="0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r/>
      <w:bookmarkStart w:id="35" w:name="anchor10000"/>
      <w:r/>
      <w:bookmarkEnd w:id="35"/>
      <w:r>
        <w:t xml:space="preserve">Приложение N 1к </w:t>
      </w:r>
      <w:hyperlink r:id="rId27" w:tooltip="#anchor1000" w:history="1">
        <w:r>
          <w:t xml:space="preserve">Порядку</w:t>
        </w:r>
      </w:hyperlink>
      <w:r>
        <w:t xml:space="preserve"> формирования Единогоинформационного ресурса об отдельныхобъектах недвижимого имущества,расположенных на территорииЧувашской Республики</w:t>
      </w:r>
      <w:r/>
    </w:p>
    <w:p>
      <w:pPr>
        <w:pStyle w:val="685"/>
      </w:pPr>
      <w:r/>
      <w:r/>
    </w:p>
    <w:p>
      <w:pPr>
        <w:pStyle w:val="687"/>
      </w:pPr>
      <w:r>
        <w:t xml:space="preserve">Переченьземельных участков, предлагаемых для включения в информационный ресурс о свободных от застройки земельных участках, расположенных на территории Чувашской Республики, за исключением земельных участков из земель сельскохозяйственного назна</w:t>
      </w:r>
      <w:r>
        <w:t xml:space="preserve">чения, предназначенных для ведения сельскохозяйственного производства и иных связанных с сельскохозяйственным производством целей, Единого информационного ресурса об отдельных объектах недвижимого имущества, расположенных на территории Чувашской Республики</w:t>
      </w:r>
      <w:r/>
    </w:p>
    <w:p>
      <w:pPr>
        <w:pStyle w:val="685"/>
      </w:pPr>
      <w:r/>
      <w:r/>
    </w:p>
    <w:tbl>
      <w:tblPr>
        <w:tblW w:w="14569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1531"/>
        <w:gridCol w:w="850"/>
        <w:gridCol w:w="1531"/>
        <w:gridCol w:w="850"/>
        <w:gridCol w:w="850"/>
        <w:gridCol w:w="1134"/>
        <w:gridCol w:w="1134"/>
        <w:gridCol w:w="850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N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пп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Местоположение (адрес)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Кадастровый номер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Площадь земельного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участка, га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Категория земель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Форма собственности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Кадастровая стоимость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земельного участка,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Цена земельного участка или размер арендной платы (при предоставлении земельного участка в собственность или аренду),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Наличие инженерной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и транспортной инфраструктур</w:t>
            </w:r>
            <w:hyperlink r:id="rId28" w:tooltip="#anchor1111" w:history="1">
              <w:r>
                <w:t xml:space="preserve">*</w:t>
              </w:r>
            </w:hyperlink>
            <w:r>
              <w:t xml:space="preserve"> с указанием мощности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Удаленность земельного участка от инженерной и транспортной инфраструктур*, метров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Территориальная зона,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в границах которой расположен земельный участок согласно правилам землепользования и застройки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Основные виды разрешенного использования земельного участка, предусмотренные правилами землепользования и застройки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освоении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земельного участка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7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9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10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bookmarkStart w:id="36" w:name="anchor1111"/>
      <w:r/>
      <w:bookmarkEnd w:id="36"/>
      <w:r>
        <w:t xml:space="preserve">* Указываются объекты инженерной и транспортной инфраструктур: газопровод, электрические сети, водоснабжение, канализация, автомобильная дорога с твердым покрытием.</w:t>
      </w:r>
      <w:r/>
    </w:p>
    <w:p>
      <w:pPr>
        <w:pStyle w:val="685"/>
      </w:pPr>
      <w:r/>
      <w:r/>
    </w:p>
    <w:p>
      <w:r/>
      <w:bookmarkStart w:id="37" w:name="anchor2000"/>
      <w:r/>
      <w:bookmarkEnd w:id="37"/>
      <w:r>
        <w:t xml:space="preserve">Приложение N 2к </w:t>
      </w:r>
      <w:hyperlink r:id="rId29" w:tooltip="#anchor1000" w:history="1">
        <w:r>
          <w:t xml:space="preserve">Порядку</w:t>
        </w:r>
      </w:hyperlink>
      <w:r>
        <w:t xml:space="preserve"> формирования Единогоинформационного ресурса об отдельныхобъектах недвижимого имущества,расположенных на территорииЧувашской Республики</w:t>
      </w:r>
      <w:r/>
    </w:p>
    <w:p>
      <w:pPr>
        <w:pStyle w:val="685"/>
      </w:pPr>
      <w:r/>
      <w:r/>
    </w:p>
    <w:p>
      <w:pPr>
        <w:pStyle w:val="687"/>
      </w:pPr>
      <w:r>
        <w:t xml:space="preserve">Переченьсвободных от прав третьих лиц объектов капитального строительства и земельных участков под ними, предлагаемых для включения в информационный ресурс о свободных от пра</w:t>
      </w:r>
      <w:r>
        <w:t xml:space="preserve">в третьих лиц объектах капитального строительства и земельных участках под ними, расположенных на территории Чувашской Республики, Единого информационного ресурса об отдельных объектах недвижимого имущества, расположенных на территории Чувашской Республики</w:t>
      </w:r>
      <w:r/>
    </w:p>
    <w:p>
      <w:pPr>
        <w:pStyle w:val="685"/>
      </w:pPr>
      <w:r/>
      <w:r/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1134"/>
        <w:gridCol w:w="1134"/>
        <w:gridCol w:w="1134"/>
        <w:gridCol w:w="1814"/>
        <w:gridCol w:w="850"/>
        <w:gridCol w:w="850"/>
        <w:gridCol w:w="1247"/>
        <w:gridCol w:w="850"/>
        <w:gridCol w:w="113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Местоположение (адрес) объекта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Кадастровый номер объекта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Общая площадь объекта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капитального строительства,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кв. метров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Кадастровая стоимость объекта капитального строительства,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Кадастровый номер земельного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участка под объектом 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Площадь земельного участка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под объектом капитального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строительства, га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Категория земель, к которой относится земельный участок под объектом 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Вид разрешенного использования земельного участка под объектом 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Форма собственности земельного участка под объектом капитального строительства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ограничениях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использования земельного участка под объектом капитального строительства (правовой режим земельного участка, ограничения хозяйственного использования и др.)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Кадастровая стоимость земельного участка под объектом капитального строительства,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Наличие инженерной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и транспортной инфраструктур</w:t>
            </w:r>
            <w:hyperlink r:id="rId30" w:tooltip="#anchor2222" w:history="1">
              <w:r>
                <w:t xml:space="preserve">*</w:t>
              </w:r>
            </w:hyperlink>
            <w:r>
              <w:t xml:space="preserve">,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метров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Удаленность земельного участка под объектом капитального строительства от инженерной и транспортной инфраструктур*, метров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освоении объекта</w:t>
            </w:r>
            <w:r/>
          </w:p>
          <w:p>
            <w:pPr>
              <w:pStyle w:val="685"/>
              <w:ind w:left="0" w:right="0" w:firstLine="0"/>
              <w:jc w:val="center"/>
            </w:pPr>
            <w:r>
              <w:t xml:space="preserve">капитального строительства и земельного участка под ним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 возможности выкупа объекта капитального строительства и земельного участка под ним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7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9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10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bookmarkStart w:id="38" w:name="anchor2222"/>
      <w:r/>
      <w:bookmarkEnd w:id="38"/>
      <w:r>
        <w:t xml:space="preserve">* Указываются объекты инженерной и транспортной инфраструктур: газопровод, электрические сети, водоснабжение, канализация, автомобильная дорога с твердым покрытием.</w:t>
      </w:r>
      <w:r/>
    </w:p>
    <w:p>
      <w:pPr>
        <w:pStyle w:val="685"/>
      </w:pPr>
      <w:r/>
      <w:r/>
    </w:p>
    <w:p>
      <w:r/>
      <w:bookmarkStart w:id="39" w:name="anchor3000"/>
      <w:r/>
      <w:bookmarkEnd w:id="39"/>
      <w:r>
        <w:t xml:space="preserve">Приложение N 3к </w:t>
      </w:r>
      <w:hyperlink r:id="rId31" w:tooltip="#anchor1000" w:history="1">
        <w:r>
          <w:t xml:space="preserve">Порядку</w:t>
        </w:r>
      </w:hyperlink>
      <w:r>
        <w:t xml:space="preserve"> формирования Единогоинформационного ресурса об отдельныхобъектах недвижимого имущества,расположенных на территорииЧувашской Республики</w:t>
      </w:r>
      <w:r/>
    </w:p>
    <w:p>
      <w:pPr>
        <w:pStyle w:val="685"/>
      </w:pPr>
      <w:r/>
      <w:r/>
    </w:p>
    <w:p>
      <w:pPr>
        <w:pStyle w:val="687"/>
      </w:pPr>
      <w:r>
        <w:t xml:space="preserve">Переченьземельных участков, предлагаемых для включения в информационный ресурс о св</w:t>
      </w:r>
      <w:r>
        <w:t xml:space="preserve">ободных от застройки земельных участках из земель сельскохозяйственного назначения, предназначенных для ведения сельскохозяйственного производства и иных связанных с сельскохозяйственным производством целей, расположенных на территории Чувашской Республики</w:t>
      </w:r>
      <w:r/>
    </w:p>
    <w:p>
      <w:pPr>
        <w:pStyle w:val="685"/>
      </w:pPr>
      <w:r/>
      <w:r/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50"/>
        <w:gridCol w:w="1247"/>
        <w:gridCol w:w="964"/>
        <w:gridCol w:w="1134"/>
        <w:gridCol w:w="964"/>
        <w:gridCol w:w="964"/>
        <w:gridCol w:w="964"/>
        <w:gridCol w:w="1701"/>
        <w:gridCol w:w="1247"/>
        <w:gridCol w:w="1701"/>
        <w:gridCol w:w="1134"/>
        <w:gridCol w:w="1134"/>
        <w:gridCol w:w="113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N п/п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Местоположение (адрес)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Кадастровый номер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Площадь земельного участка, га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Категория земель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Форма собственности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Кадастровая стоимость земельного участка,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Цена земельного участка или размер арендной платы (при предоставлении земельного участка в собственность или аренду), рублей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Орган местного самоуправления, уполномоченный на распоряжение земельными участками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 планируемой дате проведения аукциона и источник публикации извещения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Сведения об освоении земельного участка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7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9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10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11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12</w:t>
            </w:r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</w:pPr>
            <w:r>
              <w:t xml:space="preserve">13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6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</w:tr>
    </w:tbl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6837" w:h="11905" w:orient="landscape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2627" w:default="1">
    <w:name w:val="Default Paragraph Font"/>
    <w:uiPriority w:val="1"/>
    <w:semiHidden/>
    <w:unhideWhenUsed/>
  </w:style>
  <w:style w:type="numbering" w:styleId="2628" w:default="1">
    <w:name w:val="No List"/>
    <w:uiPriority w:val="99"/>
    <w:semiHidden/>
    <w:unhideWhenUsed/>
  </w:style>
  <w:style w:type="table" w:styleId="26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17582040/0" TargetMode="External"/><Relationship Id="rId11" Type="http://schemas.openxmlformats.org/officeDocument/2006/relationships/hyperlink" Target="https://internet.garant.ru/document/redirect/17594980/0" TargetMode="External"/><Relationship Id="rId12" Type="http://schemas.openxmlformats.org/officeDocument/2006/relationships/hyperlink" Target="#anchor1000" TargetMode="External"/><Relationship Id="rId13" Type="http://schemas.openxmlformats.org/officeDocument/2006/relationships/hyperlink" Target="https://internet.garant.ru/document/redirect/17582041/0" TargetMode="External"/><Relationship Id="rId14" Type="http://schemas.openxmlformats.org/officeDocument/2006/relationships/hyperlink" Target="#anchor0" TargetMode="External"/><Relationship Id="rId15" Type="http://schemas.openxmlformats.org/officeDocument/2006/relationships/hyperlink" Target="https://internet.garant.ru/document/redirect/17594898/2000" TargetMode="External"/><Relationship Id="rId16" Type="http://schemas.openxmlformats.org/officeDocument/2006/relationships/hyperlink" Target="https://internet.garant.ru/document/redirect/17594898/0" TargetMode="External"/><Relationship Id="rId17" Type="http://schemas.openxmlformats.org/officeDocument/2006/relationships/hyperlink" Target="#anchor10000" TargetMode="External"/><Relationship Id="rId18" Type="http://schemas.openxmlformats.org/officeDocument/2006/relationships/hyperlink" Target="#anchor1009" TargetMode="External"/><Relationship Id="rId19" Type="http://schemas.openxmlformats.org/officeDocument/2006/relationships/hyperlink" Target="#anchor2000" TargetMode="External"/><Relationship Id="rId20" Type="http://schemas.openxmlformats.org/officeDocument/2006/relationships/hyperlink" Target="https://internet.garant.ru/document/redirect/74351078/14" TargetMode="External"/><Relationship Id="rId21" Type="http://schemas.openxmlformats.org/officeDocument/2006/relationships/hyperlink" Target="#anchor3000" TargetMode="External"/><Relationship Id="rId22" Type="http://schemas.openxmlformats.org/officeDocument/2006/relationships/hyperlink" Target="#anchor1009" TargetMode="External"/><Relationship Id="rId23" Type="http://schemas.openxmlformats.org/officeDocument/2006/relationships/hyperlink" Target="#anchor10101" TargetMode="External"/><Relationship Id="rId24" Type="http://schemas.openxmlformats.org/officeDocument/2006/relationships/hyperlink" Target="https://internet.garant.ru/document/redirect/17594898/2000" TargetMode="External"/><Relationship Id="rId25" Type="http://schemas.openxmlformats.org/officeDocument/2006/relationships/hyperlink" Target="#anchor10102" TargetMode="External"/><Relationship Id="rId26" Type="http://schemas.openxmlformats.org/officeDocument/2006/relationships/hyperlink" Target="https://www.cap.ru/" TargetMode="External"/><Relationship Id="rId27" Type="http://schemas.openxmlformats.org/officeDocument/2006/relationships/hyperlink" Target="#anchor1000" TargetMode="External"/><Relationship Id="rId28" Type="http://schemas.openxmlformats.org/officeDocument/2006/relationships/hyperlink" Target="#anchor1111" TargetMode="External"/><Relationship Id="rId29" Type="http://schemas.openxmlformats.org/officeDocument/2006/relationships/hyperlink" Target="#anchor1000" TargetMode="External"/><Relationship Id="rId30" Type="http://schemas.openxmlformats.org/officeDocument/2006/relationships/hyperlink" Target="#anchor2222" TargetMode="External"/><Relationship Id="rId31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2025-01-20T08:03:25Z</dcterms:modified>
</cp:coreProperties>
</file>