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8F11DF" w:rsidRDefault="00E7058D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УТВЕРЖДАЮ</w:t>
      </w:r>
    </w:p>
    <w:p w:rsidR="00BC4DE9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BC4DE9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Красноармейского района</w:t>
      </w:r>
    </w:p>
    <w:p w:rsidR="008F11DF" w:rsidRPr="008F11DF" w:rsidRDefault="008F11DF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 w:rsidRPr="008F11DF">
        <w:rPr>
          <w:rFonts w:ascii="Times New Roman" w:hAnsi="Times New Roman" w:cs="Times New Roman"/>
        </w:rPr>
        <w:t>Чувашской Республики</w:t>
      </w:r>
    </w:p>
    <w:p w:rsidR="008F11DF" w:rsidRDefault="008F11DF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</w:p>
    <w:p w:rsidR="008F11DF" w:rsidRPr="008F11DF" w:rsidRDefault="00BC4DE9" w:rsidP="00E21210">
      <w:pPr>
        <w:spacing w:after="0" w:line="216" w:lineRule="auto"/>
        <w:ind w:left="11340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Кузнецов</w:t>
      </w:r>
    </w:p>
    <w:p w:rsidR="008F11DF" w:rsidRPr="00D81868" w:rsidRDefault="008F11DF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14107E" w:rsidRPr="00D81868" w:rsidRDefault="00D81868" w:rsidP="00534FCF">
      <w:pPr>
        <w:spacing w:after="0" w:line="216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D81868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Карточка проекта по оптимизации </w:t>
      </w:r>
      <w:r w:rsidR="00A47115" w:rsidRPr="00A47115">
        <w:rPr>
          <w:rFonts w:ascii="Times New Roman" w:hAnsi="Times New Roman" w:cs="Times New Roman"/>
          <w:b/>
          <w:color w:val="0033CC"/>
          <w:sz w:val="24"/>
          <w:szCs w:val="24"/>
        </w:rPr>
        <w:t>процесса рассмотрения обращений граждан в администрации Красноармейского района</w:t>
      </w:r>
    </w:p>
    <w:p w:rsidR="00D81868" w:rsidRPr="00273D8D" w:rsidRDefault="00D81868" w:rsidP="00534FCF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026" w:type="dxa"/>
        <w:tblInd w:w="250" w:type="dxa"/>
        <w:tblLook w:val="04A0" w:firstRow="1" w:lastRow="0" w:firstColumn="1" w:lastColumn="0" w:noHBand="0" w:noVBand="1"/>
      </w:tblPr>
      <w:tblGrid>
        <w:gridCol w:w="8222"/>
        <w:gridCol w:w="283"/>
        <w:gridCol w:w="6521"/>
      </w:tblGrid>
      <w:tr w:rsidR="004C54A2" w:rsidRPr="004A71FB" w:rsidTr="009F6314"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 xml:space="preserve">1. Вовлеченные лица и рамки </w:t>
            </w:r>
            <w:r w:rsidR="00D81868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 xml:space="preserve">проекта </w:t>
            </w:r>
          </w:p>
          <w:p w:rsidR="00D81868" w:rsidRDefault="00D81868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b/>
                <w:sz w:val="20"/>
                <w:szCs w:val="20"/>
              </w:rPr>
            </w:pPr>
          </w:p>
          <w:p w:rsidR="004C54A2" w:rsidRDefault="004C54A2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Заказчик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D81868">
              <w:rPr>
                <w:rFonts w:eastAsia="+mn-ea"/>
                <w:sz w:val="20"/>
                <w:szCs w:val="20"/>
              </w:rPr>
              <w:t>глава администрации Красноармейского района А.Н. Кузнецов</w:t>
            </w:r>
          </w:p>
          <w:p w:rsidR="0073653F" w:rsidRPr="003E5A7E" w:rsidRDefault="0073653F" w:rsidP="00534FCF">
            <w:pPr>
              <w:pStyle w:val="a5"/>
              <w:spacing w:before="0" w:beforeAutospacing="0" w:after="0" w:afterAutospacing="0" w:line="216" w:lineRule="auto"/>
              <w:textAlignment w:val="baseline"/>
              <w:rPr>
                <w:rFonts w:eastAsia="+mn-ea"/>
                <w:sz w:val="20"/>
                <w:szCs w:val="20"/>
              </w:rPr>
            </w:pPr>
          </w:p>
          <w:p w:rsidR="00892E88" w:rsidRPr="002410E9" w:rsidRDefault="004C54A2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Периметр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D81868">
              <w:rPr>
                <w:rFonts w:eastAsia="+mn-ea"/>
                <w:bCs/>
                <w:sz w:val="20"/>
                <w:szCs w:val="20"/>
              </w:rPr>
              <w:t>органы местного самоуправления</w:t>
            </w:r>
            <w:r w:rsidR="00BC4DE9">
              <w:rPr>
                <w:rFonts w:eastAsia="+mn-ea"/>
                <w:bCs/>
                <w:sz w:val="20"/>
                <w:szCs w:val="20"/>
              </w:rPr>
              <w:t xml:space="preserve"> Красноармейского района</w:t>
            </w:r>
          </w:p>
          <w:p w:rsidR="004C54A2" w:rsidRDefault="00E7058D" w:rsidP="00A7210D">
            <w:pPr>
              <w:pStyle w:val="a5"/>
              <w:spacing w:before="0" w:beforeAutospacing="0" w:after="0" w:afterAutospacing="0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Границы</w:t>
            </w:r>
            <w:r w:rsidR="004C54A2" w:rsidRPr="002410E9">
              <w:rPr>
                <w:rFonts w:eastAsia="+mn-ea"/>
                <w:b/>
                <w:sz w:val="20"/>
                <w:szCs w:val="20"/>
              </w:rPr>
              <w:t xml:space="preserve"> процесса: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BC4DE9" w:rsidRPr="00BC4DE9">
              <w:rPr>
                <w:rFonts w:eastAsia="+mn-ea"/>
                <w:sz w:val="20"/>
                <w:szCs w:val="20"/>
              </w:rPr>
              <w:t>от</w:t>
            </w:r>
            <w:r w:rsidR="00BC4DE9" w:rsidRPr="00BC4D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BC4DE9" w:rsidRPr="00BC4DE9">
              <w:rPr>
                <w:rFonts w:eastAsia="+mn-ea"/>
                <w:sz w:val="20"/>
                <w:szCs w:val="20"/>
              </w:rPr>
              <w:t>поступления обращени</w:t>
            </w:r>
            <w:r w:rsidR="00586654">
              <w:rPr>
                <w:rFonts w:eastAsia="+mn-ea"/>
                <w:sz w:val="20"/>
                <w:szCs w:val="20"/>
              </w:rPr>
              <w:t>я</w:t>
            </w:r>
            <w:r w:rsidR="00BC4DE9" w:rsidRPr="00BC4DE9">
              <w:rPr>
                <w:rFonts w:eastAsia="+mn-ea"/>
                <w:sz w:val="20"/>
                <w:szCs w:val="20"/>
              </w:rPr>
              <w:t xml:space="preserve"> до получения результатов его окончательного рассмотрения</w:t>
            </w:r>
          </w:p>
          <w:p w:rsidR="002D39B8" w:rsidRPr="0064161E" w:rsidRDefault="005F1297" w:rsidP="002D39B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>Владелец</w:t>
            </w:r>
            <w:r w:rsidR="004C54A2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A34DC" w:rsidRPr="002410E9">
              <w:rPr>
                <w:rFonts w:eastAsia="+mn-ea"/>
                <w:sz w:val="20"/>
                <w:szCs w:val="20"/>
              </w:rPr>
              <w:t>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BC4DE9">
              <w:rPr>
                <w:rFonts w:eastAsia="+mn-ea"/>
                <w:b w:val="0"/>
                <w:bCs w:val="0"/>
                <w:sz w:val="20"/>
                <w:szCs w:val="20"/>
              </w:rPr>
              <w:t>заместитель главы администрации Красноармейского района</w:t>
            </w:r>
            <w:r w:rsidR="00E36669">
              <w:rPr>
                <w:rFonts w:eastAsia="+mn-ea"/>
                <w:b w:val="0"/>
                <w:bCs w:val="0"/>
                <w:sz w:val="20"/>
                <w:szCs w:val="20"/>
              </w:rPr>
              <w:t xml:space="preserve"> – </w:t>
            </w:r>
            <w:r w:rsidR="00BC4DE9">
              <w:rPr>
                <w:rFonts w:eastAsia="+mn-ea"/>
                <w:b w:val="0"/>
                <w:bCs w:val="0"/>
                <w:sz w:val="20"/>
                <w:szCs w:val="20"/>
              </w:rPr>
              <w:t>начальник отдела организационно-контрольной и кадровой работы</w:t>
            </w:r>
            <w:r w:rsidR="00FB5BFF">
              <w:rPr>
                <w:rFonts w:eastAsia="+mn-ea"/>
                <w:b w:val="0"/>
                <w:bCs w:val="0"/>
                <w:sz w:val="20"/>
                <w:szCs w:val="20"/>
              </w:rPr>
              <w:t xml:space="preserve"> В.Ю. Иванов</w:t>
            </w:r>
          </w:p>
          <w:p w:rsidR="003E5A7E" w:rsidRDefault="005F1297" w:rsidP="0064161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 w:rsidR="00BC4DE9">
              <w:rPr>
                <w:rFonts w:eastAsia="+mn-ea"/>
                <w:b w:val="0"/>
                <w:bCs w:val="0"/>
                <w:sz w:val="20"/>
                <w:szCs w:val="20"/>
              </w:rPr>
              <w:t>заместитель главы администрации Красноармейского района</w:t>
            </w:r>
            <w:r w:rsidR="00E36669">
              <w:rPr>
                <w:rFonts w:eastAsia="+mn-ea"/>
                <w:b w:val="0"/>
                <w:bCs w:val="0"/>
                <w:sz w:val="20"/>
                <w:szCs w:val="20"/>
              </w:rPr>
              <w:t xml:space="preserve"> – </w:t>
            </w:r>
            <w:r w:rsidR="00BC4DE9">
              <w:rPr>
                <w:rFonts w:eastAsia="+mn-ea"/>
                <w:b w:val="0"/>
                <w:bCs w:val="0"/>
                <w:sz w:val="20"/>
                <w:szCs w:val="20"/>
              </w:rPr>
              <w:t>начальник отдела организационно-контрольной и кадровой работы</w:t>
            </w:r>
            <w:r w:rsidR="00D81868">
              <w:rPr>
                <w:rFonts w:eastAsia="+mn-ea"/>
                <w:b w:val="0"/>
                <w:bCs w:val="0"/>
                <w:sz w:val="20"/>
                <w:szCs w:val="20"/>
              </w:rPr>
              <w:t xml:space="preserve"> В.Ю. Иванов</w:t>
            </w:r>
          </w:p>
          <w:p w:rsidR="003E5A7E" w:rsidRDefault="004C54A2" w:rsidP="00A7210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Команда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</w:p>
          <w:p w:rsidR="00BC4DE9" w:rsidRDefault="00BC4DE9" w:rsidP="00BC4DE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>
              <w:rPr>
                <w:rFonts w:eastAsia="+mn-ea"/>
                <w:b w:val="0"/>
                <w:bCs w:val="0"/>
                <w:sz w:val="20"/>
                <w:szCs w:val="20"/>
              </w:rPr>
              <w:t>заместитель начальника отдела организационно-контрольной и кадровой работы администрации Красноармейского района А.Г. Капрова</w:t>
            </w:r>
          </w:p>
          <w:p w:rsidR="00CC5D03" w:rsidRDefault="00CC5D03" w:rsidP="00CC5D0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>
              <w:rPr>
                <w:rFonts w:eastAsia="+mn-ea"/>
                <w:b w:val="0"/>
                <w:bCs w:val="0"/>
                <w:sz w:val="20"/>
                <w:szCs w:val="20"/>
              </w:rPr>
              <w:t xml:space="preserve">ведущий специалист отдела организационно-контрольной и кадровой работы администрации Красноармейского района А. </w:t>
            </w:r>
            <w:r w:rsidR="00A9504C">
              <w:rPr>
                <w:rFonts w:eastAsia="+mn-ea"/>
                <w:b w:val="0"/>
                <w:bCs w:val="0"/>
                <w:sz w:val="20"/>
                <w:szCs w:val="20"/>
              </w:rPr>
              <w:t xml:space="preserve">Е. </w:t>
            </w:r>
            <w:r>
              <w:rPr>
                <w:rFonts w:eastAsia="+mn-ea"/>
                <w:b w:val="0"/>
                <w:bCs w:val="0"/>
                <w:sz w:val="20"/>
                <w:szCs w:val="20"/>
              </w:rPr>
              <w:t>Матвеева</w:t>
            </w:r>
          </w:p>
          <w:p w:rsidR="00B30253" w:rsidRPr="00023351" w:rsidRDefault="00CC5D03" w:rsidP="009F631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="+mn-ea"/>
                <w:bCs w:val="0"/>
              </w:rPr>
            </w:pPr>
            <w:r>
              <w:rPr>
                <w:rFonts w:eastAsia="+mn-ea"/>
                <w:b w:val="0"/>
                <w:bCs w:val="0"/>
                <w:sz w:val="20"/>
                <w:szCs w:val="20"/>
              </w:rPr>
              <w:t>заведующий сектором информационного обеспечения администрации Красноармейского района Д.С. Тян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41BCD" w:rsidRPr="002B29B1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B29B1">
              <w:rPr>
                <w:rFonts w:eastAsia="+mn-ea"/>
                <w:b/>
                <w:bCs/>
                <w:sz w:val="20"/>
                <w:szCs w:val="20"/>
              </w:rPr>
              <w:t xml:space="preserve">Ключевой риск: </w:t>
            </w:r>
            <w:r w:rsidR="00FB5BFF" w:rsidRPr="002B29B1">
              <w:rPr>
                <w:rFonts w:eastAsia="+mn-ea"/>
                <w:bCs/>
                <w:sz w:val="20"/>
                <w:szCs w:val="20"/>
              </w:rPr>
              <w:t>нарушение сроков рассмотрения обращения, несвоевременное принятие решения по имеющимся проблемам</w:t>
            </w:r>
          </w:p>
          <w:p w:rsidR="008C3D1A" w:rsidRPr="002B29B1" w:rsidRDefault="008C3D1A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</w:p>
          <w:p w:rsidR="009E6F71" w:rsidRPr="002B29B1" w:rsidRDefault="009E6F71" w:rsidP="00534FC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2B29B1">
              <w:rPr>
                <w:rFonts w:eastAsia="+mn-ea"/>
                <w:b/>
                <w:bCs/>
                <w:sz w:val="20"/>
                <w:szCs w:val="20"/>
              </w:rPr>
              <w:t>Проблемы:</w:t>
            </w:r>
          </w:p>
          <w:p w:rsidR="00C119A6" w:rsidRPr="002B29B1" w:rsidRDefault="00DC0CDE" w:rsidP="002B29B1">
            <w:pPr>
              <w:pStyle w:val="a5"/>
              <w:numPr>
                <w:ilvl w:val="0"/>
                <w:numId w:val="4"/>
              </w:numPr>
              <w:tabs>
                <w:tab w:val="left" w:pos="34"/>
              </w:tabs>
              <w:spacing w:before="0" w:beforeAutospacing="0" w:after="0" w:afterAutospacing="0"/>
              <w:ind w:left="34" w:firstLine="283"/>
              <w:jc w:val="both"/>
              <w:textAlignment w:val="baseline"/>
              <w:rPr>
                <w:sz w:val="20"/>
                <w:szCs w:val="20"/>
              </w:rPr>
            </w:pPr>
            <w:r w:rsidRPr="002B29B1">
              <w:rPr>
                <w:rFonts w:eastAsia="+mn-ea"/>
                <w:sz w:val="20"/>
                <w:szCs w:val="20"/>
              </w:rPr>
              <w:t>Л</w:t>
            </w:r>
            <w:r w:rsidR="0043019B" w:rsidRPr="002B29B1">
              <w:rPr>
                <w:rFonts w:eastAsia="+mn-ea"/>
                <w:sz w:val="20"/>
                <w:szCs w:val="20"/>
              </w:rPr>
              <w:t>ишняя трудоемкость</w:t>
            </w:r>
            <w:r w:rsidR="00C119A6" w:rsidRPr="002B29B1">
              <w:rPr>
                <w:rFonts w:eastAsia="+mn-ea"/>
                <w:sz w:val="20"/>
                <w:szCs w:val="20"/>
              </w:rPr>
              <w:t xml:space="preserve"> </w:t>
            </w:r>
            <w:r w:rsidR="00FF3988" w:rsidRPr="002B29B1">
              <w:rPr>
                <w:rFonts w:eastAsia="+mn-ea"/>
                <w:sz w:val="20"/>
                <w:szCs w:val="20"/>
              </w:rPr>
              <w:t>при формировании</w:t>
            </w:r>
            <w:r w:rsidR="00C119A6" w:rsidRPr="002B29B1">
              <w:rPr>
                <w:rFonts w:eastAsia="+mn-ea"/>
                <w:sz w:val="20"/>
                <w:szCs w:val="20"/>
              </w:rPr>
              <w:t xml:space="preserve"> </w:t>
            </w:r>
            <w:r w:rsidR="00D35FA3" w:rsidRPr="002B29B1">
              <w:rPr>
                <w:rFonts w:eastAsia="+mn-ea"/>
                <w:sz w:val="20"/>
                <w:szCs w:val="20"/>
              </w:rPr>
              <w:t>ответов на обращения</w:t>
            </w:r>
            <w:r w:rsidR="002B29B1" w:rsidRPr="002B29B1">
              <w:rPr>
                <w:rFonts w:eastAsia="+mn-ea"/>
                <w:sz w:val="20"/>
                <w:szCs w:val="20"/>
              </w:rPr>
              <w:t>:</w:t>
            </w:r>
          </w:p>
          <w:p w:rsidR="002B29B1" w:rsidRPr="002B29B1" w:rsidRDefault="002B29B1" w:rsidP="002B29B1">
            <w:pPr>
              <w:pStyle w:val="a5"/>
              <w:tabs>
                <w:tab w:val="left" w:pos="34"/>
              </w:tabs>
              <w:spacing w:before="0" w:beforeAutospacing="0" w:after="0" w:afterAutospacing="0"/>
              <w:ind w:left="33" w:firstLine="242"/>
              <w:jc w:val="both"/>
              <w:textAlignment w:val="baseline"/>
              <w:rPr>
                <w:sz w:val="20"/>
                <w:szCs w:val="20"/>
              </w:rPr>
            </w:pPr>
            <w:r w:rsidRPr="002B29B1">
              <w:rPr>
                <w:sz w:val="20"/>
                <w:szCs w:val="20"/>
              </w:rPr>
              <w:t>длительные рассмотрение обращения на различных уровнях администрации района</w:t>
            </w:r>
          </w:p>
          <w:p w:rsidR="002B29B1" w:rsidRPr="002B29B1" w:rsidRDefault="002B29B1" w:rsidP="002B29B1">
            <w:pPr>
              <w:pStyle w:val="a5"/>
              <w:tabs>
                <w:tab w:val="left" w:pos="34"/>
              </w:tabs>
              <w:spacing w:before="0" w:beforeAutospacing="0" w:after="0" w:afterAutospacing="0"/>
              <w:ind w:left="33" w:firstLine="242"/>
              <w:jc w:val="both"/>
              <w:textAlignment w:val="baseline"/>
              <w:rPr>
                <w:sz w:val="20"/>
                <w:szCs w:val="20"/>
              </w:rPr>
            </w:pPr>
            <w:r w:rsidRPr="002B29B1">
              <w:rPr>
                <w:sz w:val="20"/>
                <w:szCs w:val="20"/>
              </w:rPr>
              <w:t xml:space="preserve">длительный поиск необходимой информации для подготовки ответа, перенаправление запросов </w:t>
            </w:r>
          </w:p>
          <w:p w:rsidR="002B29B1" w:rsidRPr="002B29B1" w:rsidRDefault="002B29B1" w:rsidP="002B29B1">
            <w:pPr>
              <w:pStyle w:val="a5"/>
              <w:tabs>
                <w:tab w:val="left" w:pos="34"/>
              </w:tabs>
              <w:spacing w:before="0" w:beforeAutospacing="0" w:after="0" w:afterAutospacing="0"/>
              <w:ind w:left="33" w:firstLine="242"/>
              <w:jc w:val="both"/>
              <w:textAlignment w:val="baseline"/>
              <w:rPr>
                <w:sz w:val="20"/>
                <w:szCs w:val="20"/>
              </w:rPr>
            </w:pPr>
            <w:r w:rsidRPr="002B29B1">
              <w:rPr>
                <w:sz w:val="20"/>
                <w:szCs w:val="20"/>
              </w:rPr>
              <w:t>длительная процедура согласования ответа, временные затраты на исправление проекта ответа.</w:t>
            </w:r>
          </w:p>
          <w:p w:rsidR="002B29B1" w:rsidRPr="002B29B1" w:rsidRDefault="002B29B1" w:rsidP="002B29B1">
            <w:pPr>
              <w:pStyle w:val="a5"/>
              <w:tabs>
                <w:tab w:val="left" w:pos="34"/>
              </w:tabs>
              <w:spacing w:before="0" w:beforeAutospacing="0" w:after="0" w:afterAutospacing="0"/>
              <w:ind w:firstLine="317"/>
              <w:jc w:val="both"/>
              <w:textAlignment w:val="baseline"/>
              <w:rPr>
                <w:sz w:val="20"/>
                <w:szCs w:val="20"/>
              </w:rPr>
            </w:pPr>
            <w:r w:rsidRPr="002B29B1">
              <w:rPr>
                <w:sz w:val="20"/>
                <w:szCs w:val="20"/>
              </w:rPr>
              <w:t>2. Сложный процесс осуществления текущего контроля за исполнением поручений по обращениям</w:t>
            </w:r>
          </w:p>
          <w:p w:rsidR="00D81868" w:rsidRPr="004A71FB" w:rsidRDefault="00D81868" w:rsidP="002B29B1">
            <w:pPr>
              <w:pStyle w:val="a5"/>
              <w:tabs>
                <w:tab w:val="left" w:pos="34"/>
              </w:tabs>
              <w:spacing w:before="0" w:beforeAutospacing="0" w:after="0" w:afterAutospacing="0"/>
              <w:ind w:firstLine="317"/>
              <w:jc w:val="both"/>
              <w:textAlignment w:val="baseline"/>
            </w:pPr>
          </w:p>
        </w:tc>
      </w:tr>
      <w:tr w:rsidR="004C54A2" w:rsidRPr="00CD2087" w:rsidTr="009F6314"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746" w:rsidRPr="00CD2087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:rsidTr="009F6314">
        <w:trPr>
          <w:trHeight w:val="2433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746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280"/>
              <w:gridCol w:w="2273"/>
              <w:gridCol w:w="2272"/>
            </w:tblGrid>
            <w:tr w:rsidR="00AA3746" w:rsidRPr="004A71FB" w:rsidTr="002B29B1">
              <w:trPr>
                <w:trHeight w:val="414"/>
              </w:trPr>
              <w:tc>
                <w:tcPr>
                  <w:tcW w:w="3585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475" w:type="dxa"/>
                  <w:vAlign w:val="center"/>
                </w:tcPr>
                <w:p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474" w:type="dxa"/>
                  <w:vAlign w:val="center"/>
                </w:tcPr>
                <w:p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D81868" w:rsidRPr="004A71FB" w:rsidTr="002B29B1">
              <w:trPr>
                <w:trHeight w:val="422"/>
              </w:trPr>
              <w:tc>
                <w:tcPr>
                  <w:tcW w:w="3585" w:type="dxa"/>
                </w:tcPr>
                <w:p w:rsidR="00D81868" w:rsidRPr="002B29B1" w:rsidRDefault="00D81868" w:rsidP="00F423E8">
                  <w:pPr>
                    <w:spacing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Сокращение времени регистрации, перенаправления обращений и направления ответа заявителю</w:t>
                  </w:r>
                </w:p>
              </w:tc>
              <w:tc>
                <w:tcPr>
                  <w:tcW w:w="2475" w:type="dxa"/>
                  <w:vAlign w:val="center"/>
                </w:tcPr>
                <w:p w:rsidR="00D81868" w:rsidRPr="002B29B1" w:rsidRDefault="00C37F73" w:rsidP="00C37F73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дня</w:t>
                  </w:r>
                </w:p>
              </w:tc>
              <w:tc>
                <w:tcPr>
                  <w:tcW w:w="2474" w:type="dxa"/>
                  <w:vAlign w:val="center"/>
                </w:tcPr>
                <w:p w:rsidR="00D81868" w:rsidRPr="002B29B1" w:rsidRDefault="00D81868" w:rsidP="00F423E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дней</w:t>
                  </w:r>
                </w:p>
              </w:tc>
            </w:tr>
            <w:tr w:rsidR="00D81868" w:rsidRPr="004A71FB" w:rsidTr="002B29B1">
              <w:trPr>
                <w:trHeight w:val="422"/>
              </w:trPr>
              <w:tc>
                <w:tcPr>
                  <w:tcW w:w="3585" w:type="dxa"/>
                </w:tcPr>
                <w:p w:rsidR="00D81868" w:rsidRPr="002B29B1" w:rsidRDefault="00D81868" w:rsidP="00F423E8">
                  <w:pPr>
                    <w:spacing w:line="23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Переход на электронный документооборот </w:t>
                  </w:r>
                </w:p>
              </w:tc>
              <w:tc>
                <w:tcPr>
                  <w:tcW w:w="2475" w:type="dxa"/>
                  <w:vAlign w:val="center"/>
                </w:tcPr>
                <w:p w:rsidR="00D81868" w:rsidRPr="002B29B1" w:rsidRDefault="00D81868" w:rsidP="00F423E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2474" w:type="dxa"/>
                  <w:vAlign w:val="center"/>
                </w:tcPr>
                <w:p w:rsidR="00D81868" w:rsidRPr="002B29B1" w:rsidRDefault="00D81868" w:rsidP="00F423E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80%</w:t>
                  </w:r>
                </w:p>
              </w:tc>
            </w:tr>
          </w:tbl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4. Ключевые события проекта</w:t>
            </w:r>
          </w:p>
          <w:p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64479" w:rsidRPr="002410E9" w:rsidRDefault="00564479" w:rsidP="00534FCF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1. Старт проекта –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15.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10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564479" w:rsidRPr="002410E9" w:rsidRDefault="00564479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2. Диагностика и целевое состояние – до 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8421F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8421F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текущей карты процесса – до </w:t>
            </w:r>
            <w:r w:rsidR="008421F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15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11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564479" w:rsidRPr="002410E9" w:rsidRDefault="0056447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Разработка целевой карты процесса – до 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20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8421F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D83C13" w:rsidRPr="002410E9" w:rsidRDefault="00D83C13" w:rsidP="00534FCF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Kick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-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  <w:lang w:val="en-US"/>
              </w:rPr>
              <w:t>off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495FFE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495FFE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8421F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D6263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564479" w:rsidRPr="002410E9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4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Внедрение улучшений – до 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25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12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  <w:p w:rsidR="00AA3746" w:rsidRPr="004A71FB" w:rsidRDefault="00D83C13" w:rsidP="00DD6C86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5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Закрепление результатов и закрытие проекта – до 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3</w:t>
            </w:r>
            <w:r w:rsidR="00C42B1C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DD6C8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12</w:t>
            </w:r>
            <w:r w:rsidR="00F50A96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.2021</w:t>
            </w:r>
          </w:p>
        </w:tc>
      </w:tr>
    </w:tbl>
    <w:p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36F6D" w:rsidTr="009F6314">
        <w:tc>
          <w:tcPr>
            <w:tcW w:w="8080" w:type="dxa"/>
          </w:tcPr>
          <w:p w:rsidR="0098578C" w:rsidRDefault="00586654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  <w:proofErr w:type="gramStart"/>
            <w:r>
              <w:rPr>
                <w:rFonts w:ascii="Times New Roman" w:hAnsi="Times New Roman" w:cs="Times New Roman"/>
              </w:rPr>
              <w:t>объединенного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6F6D" w:rsidRDefault="00586654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проектного офиса ГК «</w:t>
            </w:r>
            <w:proofErr w:type="spellStart"/>
            <w:r>
              <w:rPr>
                <w:rFonts w:ascii="Times New Roman" w:hAnsi="Times New Roman" w:cs="Times New Roman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98578C">
              <w:rPr>
                <w:rFonts w:ascii="Times New Roman" w:hAnsi="Times New Roman" w:cs="Times New Roman"/>
              </w:rPr>
              <w:t xml:space="preserve">            </w:t>
            </w:r>
            <w:bookmarkStart w:id="0" w:name="_GoBack"/>
            <w:bookmarkEnd w:id="0"/>
            <w:r w:rsidR="0098578C">
              <w:rPr>
                <w:rFonts w:ascii="Times New Roman" w:hAnsi="Times New Roman" w:cs="Times New Roman"/>
              </w:rPr>
              <w:t xml:space="preserve"> </w:t>
            </w:r>
            <w:r w:rsidR="0098578C">
              <w:rPr>
                <w:rFonts w:ascii="Times New Roman" w:hAnsi="Times New Roman" w:cs="Times New Roman"/>
              </w:rPr>
              <w:t>А.А. Чкалов</w:t>
            </w:r>
          </w:p>
          <w:p w:rsidR="00586654" w:rsidRPr="00464836" w:rsidRDefault="00586654" w:rsidP="00985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7655" w:type="dxa"/>
          </w:tcPr>
          <w:p w:rsidR="00023150" w:rsidRPr="00464836" w:rsidRDefault="00023150" w:rsidP="00534FCF">
            <w:pPr>
              <w:jc w:val="right"/>
              <w:rPr>
                <w:rFonts w:ascii="Times New Roman" w:hAnsi="Times New Roman" w:cs="Times New Roman"/>
              </w:rPr>
            </w:pPr>
          </w:p>
          <w:p w:rsidR="00336F6D" w:rsidRPr="00464836" w:rsidRDefault="00336F6D" w:rsidP="0098578C">
            <w:pPr>
              <w:jc w:val="center"/>
              <w:rPr>
                <w:rFonts w:ascii="Times New Roman" w:hAnsi="Times New Roman" w:cs="Times New Roman"/>
              </w:rPr>
            </w:pPr>
            <w:r w:rsidRPr="00464836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98578C">
              <w:rPr>
                <w:rFonts w:ascii="Times New Roman" w:hAnsi="Times New Roman" w:cs="Times New Roman"/>
              </w:rPr>
              <w:t xml:space="preserve">       </w:t>
            </w:r>
            <w:r w:rsidR="00CC5D03">
              <w:rPr>
                <w:rFonts w:ascii="Times New Roman" w:hAnsi="Times New Roman" w:cs="Times New Roman"/>
              </w:rPr>
              <w:t>В.Ю. Иванов</w:t>
            </w:r>
          </w:p>
        </w:tc>
      </w:tr>
    </w:tbl>
    <w:p w:rsidR="00336F6D" w:rsidRDefault="00336F6D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6F6D" w:rsidSect="00D81868">
      <w:footerReference w:type="default" r:id="rId9"/>
      <w:pgSz w:w="16838" w:h="11906" w:orient="landscape"/>
      <w:pgMar w:top="426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2A" w:rsidRDefault="006D092A" w:rsidP="00E21210">
      <w:pPr>
        <w:spacing w:after="0" w:line="240" w:lineRule="auto"/>
      </w:pPr>
      <w:r>
        <w:separator/>
      </w:r>
    </w:p>
  </w:endnote>
  <w:endnote w:type="continuationSeparator" w:id="0">
    <w:p w:rsidR="006D092A" w:rsidRDefault="006D092A" w:rsidP="00E2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10" w:rsidRPr="00E21210" w:rsidRDefault="00E21210" w:rsidP="00E21210">
    <w:pPr>
      <w:pStyle w:val="a8"/>
      <w:jc w:val="right"/>
      <w:rPr>
        <w:rFonts w:ascii="Times New Roman" w:hAnsi="Times New Roman" w:cs="Times New Roman"/>
        <w:b/>
        <w:color w:val="FF0000"/>
        <w:sz w:val="28"/>
        <w:szCs w:val="28"/>
      </w:rPr>
    </w:pPr>
  </w:p>
  <w:p w:rsidR="00E21210" w:rsidRDefault="00E212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2A" w:rsidRDefault="006D092A" w:rsidP="00E21210">
      <w:pPr>
        <w:spacing w:after="0" w:line="240" w:lineRule="auto"/>
      </w:pPr>
      <w:r>
        <w:separator/>
      </w:r>
    </w:p>
  </w:footnote>
  <w:footnote w:type="continuationSeparator" w:id="0">
    <w:p w:rsidR="006D092A" w:rsidRDefault="006D092A" w:rsidP="00E2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23150"/>
    <w:rsid w:val="00023351"/>
    <w:rsid w:val="000334C9"/>
    <w:rsid w:val="00047004"/>
    <w:rsid w:val="00047688"/>
    <w:rsid w:val="000C1DD4"/>
    <w:rsid w:val="000C53B0"/>
    <w:rsid w:val="000E63BC"/>
    <w:rsid w:val="001147C3"/>
    <w:rsid w:val="0014107E"/>
    <w:rsid w:val="00141BCD"/>
    <w:rsid w:val="0015003C"/>
    <w:rsid w:val="001900E2"/>
    <w:rsid w:val="001B78B4"/>
    <w:rsid w:val="0022348D"/>
    <w:rsid w:val="002410E9"/>
    <w:rsid w:val="00273D8D"/>
    <w:rsid w:val="00275B7F"/>
    <w:rsid w:val="002B29B1"/>
    <w:rsid w:val="002D39B8"/>
    <w:rsid w:val="0032008B"/>
    <w:rsid w:val="00336F6D"/>
    <w:rsid w:val="00345918"/>
    <w:rsid w:val="003A02FC"/>
    <w:rsid w:val="003A099C"/>
    <w:rsid w:val="003D48D0"/>
    <w:rsid w:val="003E5A7E"/>
    <w:rsid w:val="003F7D91"/>
    <w:rsid w:val="004026D8"/>
    <w:rsid w:val="00412571"/>
    <w:rsid w:val="0043019B"/>
    <w:rsid w:val="00464836"/>
    <w:rsid w:val="00471229"/>
    <w:rsid w:val="00471BFE"/>
    <w:rsid w:val="0048036A"/>
    <w:rsid w:val="00495FFE"/>
    <w:rsid w:val="004A34DC"/>
    <w:rsid w:val="004A71FB"/>
    <w:rsid w:val="004C54A2"/>
    <w:rsid w:val="004D0470"/>
    <w:rsid w:val="00524A5B"/>
    <w:rsid w:val="00534FCF"/>
    <w:rsid w:val="005418A8"/>
    <w:rsid w:val="005421B0"/>
    <w:rsid w:val="005425A4"/>
    <w:rsid w:val="005434C6"/>
    <w:rsid w:val="005521E9"/>
    <w:rsid w:val="00564479"/>
    <w:rsid w:val="00586654"/>
    <w:rsid w:val="005C1B86"/>
    <w:rsid w:val="005D1C3B"/>
    <w:rsid w:val="005F1297"/>
    <w:rsid w:val="005F2813"/>
    <w:rsid w:val="005F4EC5"/>
    <w:rsid w:val="00600EEE"/>
    <w:rsid w:val="006336FD"/>
    <w:rsid w:val="0064161E"/>
    <w:rsid w:val="00643686"/>
    <w:rsid w:val="00656D9C"/>
    <w:rsid w:val="006666D6"/>
    <w:rsid w:val="00676F31"/>
    <w:rsid w:val="006844A6"/>
    <w:rsid w:val="006C378B"/>
    <w:rsid w:val="006D092A"/>
    <w:rsid w:val="006D6BFA"/>
    <w:rsid w:val="006F0256"/>
    <w:rsid w:val="0072634A"/>
    <w:rsid w:val="0073653F"/>
    <w:rsid w:val="007535B2"/>
    <w:rsid w:val="00756F60"/>
    <w:rsid w:val="007B4FEB"/>
    <w:rsid w:val="007F4231"/>
    <w:rsid w:val="0080661B"/>
    <w:rsid w:val="00820C60"/>
    <w:rsid w:val="00831324"/>
    <w:rsid w:val="008421F4"/>
    <w:rsid w:val="008653E1"/>
    <w:rsid w:val="00865D38"/>
    <w:rsid w:val="00880AE1"/>
    <w:rsid w:val="00892E88"/>
    <w:rsid w:val="008C3D1A"/>
    <w:rsid w:val="008F11DF"/>
    <w:rsid w:val="008F73CC"/>
    <w:rsid w:val="00921B84"/>
    <w:rsid w:val="0098578C"/>
    <w:rsid w:val="009A3E77"/>
    <w:rsid w:val="009A446E"/>
    <w:rsid w:val="009E6F71"/>
    <w:rsid w:val="009F3420"/>
    <w:rsid w:val="009F6314"/>
    <w:rsid w:val="009F71C5"/>
    <w:rsid w:val="00A00E6D"/>
    <w:rsid w:val="00A0398D"/>
    <w:rsid w:val="00A04893"/>
    <w:rsid w:val="00A24D66"/>
    <w:rsid w:val="00A40945"/>
    <w:rsid w:val="00A4132E"/>
    <w:rsid w:val="00A47115"/>
    <w:rsid w:val="00A47FE9"/>
    <w:rsid w:val="00A54468"/>
    <w:rsid w:val="00A559B2"/>
    <w:rsid w:val="00A62268"/>
    <w:rsid w:val="00A7210D"/>
    <w:rsid w:val="00A76B17"/>
    <w:rsid w:val="00A9504C"/>
    <w:rsid w:val="00AA3746"/>
    <w:rsid w:val="00AA53C3"/>
    <w:rsid w:val="00B00D13"/>
    <w:rsid w:val="00B117BB"/>
    <w:rsid w:val="00B30253"/>
    <w:rsid w:val="00B473E0"/>
    <w:rsid w:val="00B848B1"/>
    <w:rsid w:val="00BB4501"/>
    <w:rsid w:val="00BC4DE9"/>
    <w:rsid w:val="00C119A6"/>
    <w:rsid w:val="00C37F73"/>
    <w:rsid w:val="00C42B1C"/>
    <w:rsid w:val="00C4733A"/>
    <w:rsid w:val="00C55BB4"/>
    <w:rsid w:val="00C567D4"/>
    <w:rsid w:val="00C86B39"/>
    <w:rsid w:val="00CA3C5E"/>
    <w:rsid w:val="00CB1F8C"/>
    <w:rsid w:val="00CC5D03"/>
    <w:rsid w:val="00CD2087"/>
    <w:rsid w:val="00CF1766"/>
    <w:rsid w:val="00D25906"/>
    <w:rsid w:val="00D263AC"/>
    <w:rsid w:val="00D35909"/>
    <w:rsid w:val="00D35FA3"/>
    <w:rsid w:val="00D53375"/>
    <w:rsid w:val="00D62639"/>
    <w:rsid w:val="00D74169"/>
    <w:rsid w:val="00D81868"/>
    <w:rsid w:val="00D83C13"/>
    <w:rsid w:val="00D92099"/>
    <w:rsid w:val="00D92B08"/>
    <w:rsid w:val="00DC0CDE"/>
    <w:rsid w:val="00DD0E40"/>
    <w:rsid w:val="00DD4700"/>
    <w:rsid w:val="00DD6C86"/>
    <w:rsid w:val="00DF39A5"/>
    <w:rsid w:val="00DF4278"/>
    <w:rsid w:val="00E21210"/>
    <w:rsid w:val="00E23A85"/>
    <w:rsid w:val="00E35B39"/>
    <w:rsid w:val="00E36669"/>
    <w:rsid w:val="00E505D3"/>
    <w:rsid w:val="00E66C37"/>
    <w:rsid w:val="00E7033F"/>
    <w:rsid w:val="00E7058D"/>
    <w:rsid w:val="00E74167"/>
    <w:rsid w:val="00E97364"/>
    <w:rsid w:val="00EA4F4E"/>
    <w:rsid w:val="00EC70E5"/>
    <w:rsid w:val="00F43B9E"/>
    <w:rsid w:val="00F50A96"/>
    <w:rsid w:val="00F57498"/>
    <w:rsid w:val="00F757FB"/>
    <w:rsid w:val="00F8022D"/>
    <w:rsid w:val="00F9048A"/>
    <w:rsid w:val="00FB0668"/>
    <w:rsid w:val="00FB5BFF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10"/>
  </w:style>
  <w:style w:type="paragraph" w:styleId="aa">
    <w:name w:val="footer"/>
    <w:basedOn w:val="a"/>
    <w:link w:val="ab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210"/>
  </w:style>
  <w:style w:type="paragraph" w:styleId="aa">
    <w:name w:val="footer"/>
    <w:basedOn w:val="a"/>
    <w:link w:val="ab"/>
    <w:uiPriority w:val="99"/>
    <w:unhideWhenUsed/>
    <w:rsid w:val="00E2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5341-3E2F-483A-BDDF-E710880B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Валерий Иванов</cp:lastModifiedBy>
  <cp:revision>3</cp:revision>
  <cp:lastPrinted>2021-03-26T07:04:00Z</cp:lastPrinted>
  <dcterms:created xsi:type="dcterms:W3CDTF">2022-10-28T10:49:00Z</dcterms:created>
  <dcterms:modified xsi:type="dcterms:W3CDTF">2022-10-28T10:50:00Z</dcterms:modified>
</cp:coreProperties>
</file>