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FD42A9">
        <w:tc>
          <w:tcPr>
            <w:tcW w:w="5103" w:type="dxa"/>
          </w:tcPr>
          <w:p w:rsidR="00FD42A9" w:rsidRDefault="00FD42A9" w:rsidP="00FD42A9">
            <w:pPr>
              <w:autoSpaceDE w:val="0"/>
              <w:autoSpaceDN w:val="0"/>
              <w:adjustRightInd w:val="0"/>
              <w:spacing w:after="0" w:line="240" w:lineRule="auto"/>
              <w:contextualSpacing/>
              <w:outlineLvl w:val="0"/>
              <w:rPr>
                <w:rFonts w:ascii="Arial" w:hAnsi="Arial" w:cs="Arial"/>
                <w:sz w:val="20"/>
                <w:szCs w:val="20"/>
              </w:rPr>
            </w:pPr>
          </w:p>
        </w:tc>
        <w:tc>
          <w:tcPr>
            <w:tcW w:w="5103" w:type="dxa"/>
          </w:tcPr>
          <w:p w:rsidR="00FD42A9" w:rsidRPr="00FD42A9" w:rsidRDefault="00FD42A9" w:rsidP="00FD42A9">
            <w:pPr>
              <w:autoSpaceDE w:val="0"/>
              <w:autoSpaceDN w:val="0"/>
              <w:adjustRightInd w:val="0"/>
              <w:spacing w:after="0" w:line="240" w:lineRule="auto"/>
              <w:contextualSpacing/>
              <w:jc w:val="right"/>
              <w:outlineLvl w:val="0"/>
              <w:rPr>
                <w:rFonts w:ascii="Arial" w:hAnsi="Arial" w:cs="Arial"/>
                <w:b/>
                <w:sz w:val="20"/>
                <w:szCs w:val="20"/>
              </w:rPr>
            </w:pPr>
            <w:r w:rsidRPr="00FD42A9">
              <w:rPr>
                <w:rFonts w:ascii="Arial" w:hAnsi="Arial" w:cs="Arial"/>
                <w:b/>
                <w:sz w:val="20"/>
                <w:szCs w:val="20"/>
              </w:rPr>
              <w:t>Извлечение</w:t>
            </w:r>
          </w:p>
        </w:tc>
      </w:tr>
      <w:tr w:rsidR="00FD42A9">
        <w:tc>
          <w:tcPr>
            <w:tcW w:w="5103" w:type="dxa"/>
          </w:tcPr>
          <w:p w:rsidR="00FD42A9" w:rsidRDefault="00FD42A9" w:rsidP="00FD42A9">
            <w:pPr>
              <w:autoSpaceDE w:val="0"/>
              <w:autoSpaceDN w:val="0"/>
              <w:adjustRightInd w:val="0"/>
              <w:spacing w:after="0" w:line="240" w:lineRule="auto"/>
              <w:contextualSpacing/>
              <w:outlineLvl w:val="0"/>
              <w:rPr>
                <w:rFonts w:ascii="Arial" w:hAnsi="Arial" w:cs="Arial"/>
                <w:sz w:val="20"/>
                <w:szCs w:val="20"/>
              </w:rPr>
            </w:pPr>
            <w:r>
              <w:rPr>
                <w:rFonts w:ascii="Arial" w:hAnsi="Arial" w:cs="Arial"/>
                <w:sz w:val="20"/>
                <w:szCs w:val="20"/>
              </w:rPr>
              <w:t>30 марта 2006 года</w:t>
            </w:r>
          </w:p>
        </w:tc>
        <w:tc>
          <w:tcPr>
            <w:tcW w:w="5103" w:type="dxa"/>
          </w:tcPr>
          <w:p w:rsidR="00FD42A9" w:rsidRDefault="00FD42A9" w:rsidP="00FD42A9">
            <w:pPr>
              <w:autoSpaceDE w:val="0"/>
              <w:autoSpaceDN w:val="0"/>
              <w:adjustRightInd w:val="0"/>
              <w:spacing w:after="0" w:line="240" w:lineRule="auto"/>
              <w:contextualSpacing/>
              <w:jc w:val="right"/>
              <w:outlineLvl w:val="0"/>
              <w:rPr>
                <w:rFonts w:ascii="Arial" w:hAnsi="Arial" w:cs="Arial"/>
                <w:sz w:val="20"/>
                <w:szCs w:val="20"/>
              </w:rPr>
            </w:pPr>
            <w:r>
              <w:rPr>
                <w:rFonts w:ascii="Arial" w:hAnsi="Arial" w:cs="Arial"/>
                <w:sz w:val="20"/>
                <w:szCs w:val="20"/>
              </w:rPr>
              <w:t>N 9</w:t>
            </w:r>
          </w:p>
        </w:tc>
      </w:tr>
    </w:tbl>
    <w:p w:rsidR="00FD42A9" w:rsidRDefault="00FD42A9" w:rsidP="00FD42A9">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FD42A9" w:rsidRDefault="00FD42A9" w:rsidP="00FD42A9">
      <w:pPr>
        <w:autoSpaceDE w:val="0"/>
        <w:autoSpaceDN w:val="0"/>
        <w:adjustRightInd w:val="0"/>
        <w:spacing w:after="0" w:line="240" w:lineRule="auto"/>
        <w:contextualSpacing/>
        <w:jc w:val="both"/>
        <w:rPr>
          <w:rFonts w:ascii="Arial" w:hAnsi="Arial" w:cs="Arial"/>
          <w:sz w:val="20"/>
          <w:szCs w:val="20"/>
        </w:rPr>
      </w:pP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ЗАКОН</w:t>
      </w:r>
    </w:p>
    <w:p w:rsidR="00FD42A9" w:rsidRDefault="00FD42A9" w:rsidP="00FD42A9">
      <w:pPr>
        <w:autoSpaceDE w:val="0"/>
        <w:autoSpaceDN w:val="0"/>
        <w:adjustRightInd w:val="0"/>
        <w:spacing w:line="240" w:lineRule="auto"/>
        <w:contextualSpacing/>
        <w:jc w:val="center"/>
        <w:rPr>
          <w:rFonts w:ascii="Arial" w:hAnsi="Arial" w:cs="Arial"/>
          <w:sz w:val="20"/>
          <w:szCs w:val="20"/>
        </w:rPr>
      </w:pP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FD42A9" w:rsidRDefault="00FD42A9" w:rsidP="00FD42A9">
      <w:pPr>
        <w:autoSpaceDE w:val="0"/>
        <w:autoSpaceDN w:val="0"/>
        <w:adjustRightInd w:val="0"/>
        <w:spacing w:line="240" w:lineRule="auto"/>
        <w:contextualSpacing/>
        <w:jc w:val="center"/>
        <w:rPr>
          <w:rFonts w:ascii="Arial" w:hAnsi="Arial" w:cs="Arial"/>
          <w:sz w:val="20"/>
          <w:szCs w:val="20"/>
        </w:rPr>
      </w:pP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 ВЫБОРАХ ДЕПУТАТОВ ГОСУДАРСТВЕННОГО СОВЕТА</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ЧУВАШСКОЙ РЕСПУБЛИКИ</w:t>
      </w:r>
    </w:p>
    <w:p w:rsidR="00FD42A9" w:rsidRDefault="00FD42A9" w:rsidP="00FD42A9">
      <w:pPr>
        <w:autoSpaceDE w:val="0"/>
        <w:autoSpaceDN w:val="0"/>
        <w:adjustRightInd w:val="0"/>
        <w:spacing w:after="0" w:line="240" w:lineRule="auto"/>
        <w:contextualSpacing/>
        <w:jc w:val="both"/>
        <w:rPr>
          <w:rFonts w:ascii="Arial" w:hAnsi="Arial" w:cs="Arial"/>
          <w:sz w:val="20"/>
          <w:szCs w:val="20"/>
        </w:rPr>
      </w:pPr>
    </w:p>
    <w:p w:rsidR="00FD42A9" w:rsidRDefault="00FD42A9" w:rsidP="00FD42A9">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FD42A9" w:rsidRDefault="00FD42A9" w:rsidP="00FD42A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FD42A9" w:rsidRDefault="00FD42A9" w:rsidP="00FD42A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FD42A9" w:rsidRDefault="00FD42A9" w:rsidP="00FD42A9">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14 марта 2006 года</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1. ОБЩИЕ ПОЛОЖЕНИЯ</w:t>
      </w:r>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 Всеобщее избирательное право</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bookmarkStart w:id="0" w:name="Par16"/>
      <w:bookmarkEnd w:id="0"/>
      <w:r>
        <w:rPr>
          <w:rFonts w:ascii="Arial" w:hAnsi="Arial" w:cs="Arial"/>
          <w:sz w:val="20"/>
          <w:szCs w:val="20"/>
        </w:rPr>
        <w:t>2</w:t>
      </w:r>
      <w:r w:rsidRPr="00FD42A9">
        <w:rPr>
          <w:rFonts w:ascii="Arial" w:hAnsi="Arial" w:cs="Arial"/>
          <w:sz w:val="20"/>
          <w:szCs w:val="20"/>
          <w:vertAlign w:val="superscript"/>
        </w:rPr>
        <w:t>2</w:t>
      </w:r>
      <w:r>
        <w:rPr>
          <w:rFonts w:ascii="Arial" w:hAnsi="Arial" w:cs="Arial"/>
          <w:sz w:val="20"/>
          <w:szCs w:val="20"/>
        </w:rPr>
        <w:t xml:space="preserve">. </w:t>
      </w:r>
      <w:proofErr w:type="gramStart"/>
      <w:r>
        <w:rPr>
          <w:rFonts w:ascii="Arial" w:hAnsi="Arial" w:cs="Arial"/>
          <w:sz w:val="20"/>
          <w:szCs w:val="20"/>
        </w:rPr>
        <w:t xml:space="preserve">В соответствии с Федеральным </w:t>
      </w:r>
      <w:hyperlink r:id="rId5" w:history="1">
        <w:r>
          <w:rPr>
            <w:rFonts w:ascii="Arial" w:hAnsi="Arial" w:cs="Arial"/>
            <w:color w:val="0000FF"/>
            <w:sz w:val="20"/>
            <w:szCs w:val="20"/>
          </w:rPr>
          <w:t>законом</w:t>
        </w:r>
      </w:hyperlink>
      <w:r>
        <w:rPr>
          <w:rFonts w:ascii="Arial" w:hAnsi="Arial" w:cs="Arial"/>
          <w:sz w:val="20"/>
          <w:szCs w:val="20"/>
        </w:rPr>
        <w:t xml:space="preserve"> гражданин Российской Федерации, выдвинутый кандидатом на выборах депутатов Государственного Совета Чувашской Республики, в том числе в составе списка кандидатов, обязан к моменту представления в соответствующую избирательную комиссию документов, необходимых для его регистрации в качестве кандидата, регистрации соответствующего списка кандидатов, закрыть счета (вклады), прекратить хранение наличных денежных средств и ценностей в иностранных банках, расположенных за пределами</w:t>
      </w:r>
      <w:proofErr w:type="gramEnd"/>
      <w:r>
        <w:rPr>
          <w:rFonts w:ascii="Arial" w:hAnsi="Arial" w:cs="Arial"/>
          <w:sz w:val="20"/>
          <w:szCs w:val="20"/>
        </w:rPr>
        <w:t xml:space="preserve"> территории Российской Федерации, и (или) осуществить отчуждение иностранных финансовых инструментов. </w:t>
      </w:r>
      <w:proofErr w:type="gramStart"/>
      <w:r>
        <w:rPr>
          <w:rFonts w:ascii="Arial" w:hAnsi="Arial" w:cs="Arial"/>
          <w:sz w:val="20"/>
          <w:szCs w:val="20"/>
        </w:rPr>
        <w:t xml:space="preserve">При этом понятие "иностранные финансовые инструменты" используется в настоящем Законе в значении, определенном Федеральным </w:t>
      </w:r>
      <w:hyperlink r:id="rId6" w:history="1">
        <w:r>
          <w:rPr>
            <w:rFonts w:ascii="Arial" w:hAnsi="Arial" w:cs="Arial"/>
            <w:color w:val="0000FF"/>
            <w:sz w:val="20"/>
            <w:szCs w:val="20"/>
          </w:rPr>
          <w:t>законом</w:t>
        </w:r>
      </w:hyperlink>
      <w:r>
        <w:rPr>
          <w:rFonts w:ascii="Arial" w:hAnsi="Arial" w:cs="Arial"/>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w:t>
      </w:r>
      <w:proofErr w:type="gramEnd"/>
      <w:r>
        <w:rPr>
          <w:rFonts w:ascii="Arial" w:hAnsi="Arial" w:cs="Arial"/>
          <w:sz w:val="20"/>
          <w:szCs w:val="20"/>
        </w:rPr>
        <w:t xml:space="preserve"> категориям лиц </w:t>
      </w:r>
      <w:proofErr w:type="gramStart"/>
      <w:r>
        <w:rPr>
          <w:rFonts w:ascii="Arial" w:hAnsi="Arial" w:cs="Arial"/>
          <w:sz w:val="20"/>
          <w:szCs w:val="20"/>
        </w:rPr>
        <w:t>открывать и иметь</w:t>
      </w:r>
      <w:proofErr w:type="gramEnd"/>
      <w:r>
        <w:rPr>
          <w:rFonts w:ascii="Arial" w:hAnsi="Arial" w:cs="Arial"/>
          <w:sz w:val="20"/>
          <w:szCs w:val="20"/>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D42A9" w:rsidRDefault="00FD42A9" w:rsidP="00FD42A9">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4. ВЫДВИЖЕНИЕ И РЕГИСТРАЦИЯ КАНДИДАТОВ</w:t>
      </w:r>
    </w:p>
    <w:p w:rsidR="00FD42A9" w:rsidRDefault="00FD42A9" w:rsidP="00FD42A9">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28. Самовыдвижение кандидата</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8</w:t>
      </w:r>
      <w:r w:rsidRPr="00FD42A9">
        <w:rPr>
          <w:rFonts w:ascii="Arial" w:hAnsi="Arial" w:cs="Arial"/>
          <w:sz w:val="20"/>
          <w:szCs w:val="20"/>
          <w:vertAlign w:val="superscript"/>
        </w:rPr>
        <w:t>1</w:t>
      </w:r>
      <w:r>
        <w:rPr>
          <w:rFonts w:ascii="Arial" w:hAnsi="Arial" w:cs="Arial"/>
          <w:sz w:val="20"/>
          <w:szCs w:val="20"/>
        </w:rPr>
        <w:t xml:space="preserve">. </w:t>
      </w:r>
      <w:proofErr w:type="gramStart"/>
      <w:r>
        <w:rPr>
          <w:rFonts w:ascii="Arial" w:hAnsi="Arial" w:cs="Arial"/>
          <w:sz w:val="20"/>
          <w:szCs w:val="20"/>
        </w:rPr>
        <w:t xml:space="preserve">Проверка выполнения требований, предусмотренных </w:t>
      </w:r>
      <w:hyperlink w:anchor="Par16" w:history="1">
        <w:r>
          <w:rPr>
            <w:rFonts w:ascii="Arial" w:hAnsi="Arial" w:cs="Arial"/>
            <w:color w:val="0000FF"/>
            <w:sz w:val="20"/>
            <w:szCs w:val="20"/>
          </w:rPr>
          <w:t>частью 2.2 статьи 5</w:t>
        </w:r>
      </w:hyperlink>
      <w:r>
        <w:rPr>
          <w:rFonts w:ascii="Arial" w:hAnsi="Arial" w:cs="Arial"/>
          <w:sz w:val="20"/>
          <w:szCs w:val="20"/>
        </w:rPr>
        <w:t xml:space="preserve"> настоящего Закона, осуществляется по основаниям, установленным Федеральным </w:t>
      </w:r>
      <w:hyperlink r:id="rId7" w:history="1">
        <w:r>
          <w:rPr>
            <w:rFonts w:ascii="Arial" w:hAnsi="Arial" w:cs="Arial"/>
            <w:color w:val="0000FF"/>
            <w:sz w:val="20"/>
            <w:szCs w:val="20"/>
          </w:rPr>
          <w:t>законом</w:t>
        </w:r>
      </w:hyperlink>
      <w:r>
        <w:rPr>
          <w:rFonts w:ascii="Arial" w:hAnsi="Arial" w:cs="Arial"/>
          <w:sz w:val="20"/>
          <w:szCs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29. Выдвижение кандидатов, списка кандидатов избирательным объединением</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16. </w:t>
      </w:r>
      <w:proofErr w:type="gramStart"/>
      <w:r>
        <w:rPr>
          <w:rFonts w:ascii="Arial" w:hAnsi="Arial" w:cs="Arial"/>
          <w:sz w:val="20"/>
          <w:szCs w:val="20"/>
        </w:rPr>
        <w:t xml:space="preserve">В соответствии с Федеральным </w:t>
      </w:r>
      <w:hyperlink r:id="rId8" w:history="1">
        <w:r>
          <w:rPr>
            <w:rFonts w:ascii="Arial" w:hAnsi="Arial" w:cs="Arial"/>
            <w:color w:val="0000FF"/>
            <w:sz w:val="20"/>
            <w:szCs w:val="20"/>
          </w:rPr>
          <w:t>законом</w:t>
        </w:r>
      </w:hyperlink>
      <w:r>
        <w:rPr>
          <w:rFonts w:ascii="Arial" w:hAnsi="Arial" w:cs="Arial"/>
          <w:sz w:val="20"/>
          <w:szCs w:val="20"/>
        </w:rPr>
        <w:t xml:space="preserve"> федеральный орган исполнительной власти, уполномоченный на осуществление функций в сфере регистрации общественных объединений и политических партий, его территориальные органы составляют список политических партий, региональных отделений, имеющих право в соответствии с федеральными законами </w:t>
      </w:r>
      <w:hyperlink r:id="rId9" w:history="1">
        <w:r>
          <w:rPr>
            <w:rFonts w:ascii="Arial" w:hAnsi="Arial" w:cs="Arial"/>
            <w:color w:val="0000FF"/>
            <w:sz w:val="20"/>
            <w:szCs w:val="20"/>
          </w:rPr>
          <w:t>"О политических партиях"</w:t>
        </w:r>
      </w:hyperlink>
      <w:r>
        <w:rPr>
          <w:rFonts w:ascii="Arial" w:hAnsi="Arial" w:cs="Arial"/>
          <w:sz w:val="20"/>
          <w:szCs w:val="20"/>
        </w:rPr>
        <w:t xml:space="preserve"> и "</w:t>
      </w:r>
      <w:hyperlink r:id="rId10" w:history="1">
        <w:r>
          <w:rPr>
            <w:rFonts w:ascii="Arial" w:hAnsi="Arial" w:cs="Arial"/>
            <w:color w:val="0000FF"/>
            <w:sz w:val="20"/>
            <w:szCs w:val="20"/>
          </w:rPr>
          <w:t>Об основных гарантиях избирательных прав</w:t>
        </w:r>
      </w:hyperlink>
      <w:r>
        <w:rPr>
          <w:rFonts w:ascii="Arial" w:hAnsi="Arial" w:cs="Arial"/>
          <w:sz w:val="20"/>
          <w:szCs w:val="20"/>
        </w:rPr>
        <w:t xml:space="preserve"> и права на участие в референдуме граждан Российской Федерации" принимать участие в выборах в</w:t>
      </w:r>
      <w:proofErr w:type="gramEnd"/>
      <w:r>
        <w:rPr>
          <w:rFonts w:ascii="Arial" w:hAnsi="Arial" w:cs="Arial"/>
          <w:sz w:val="20"/>
          <w:szCs w:val="20"/>
        </w:rPr>
        <w:t xml:space="preserve"> </w:t>
      </w:r>
      <w:proofErr w:type="gramStart"/>
      <w:r>
        <w:rPr>
          <w:rFonts w:ascii="Arial" w:hAnsi="Arial" w:cs="Arial"/>
          <w:sz w:val="20"/>
          <w:szCs w:val="20"/>
        </w:rPr>
        <w:t>качестве избирательных объединений, по состоянию на день официального опубликования (публикации) решения о назначении выборов и не позднее чем через три дня со дня официального опубликования (публикации) решения о назначении выборов публикуют указанный список в государственных периодических печатных изданиях, размещают его на своих официальных сайтах в информационно-телекоммуникационной сети "Интернет", а также в этот же срок направляют указанный список в Избирательную комиссию</w:t>
      </w:r>
      <w:proofErr w:type="gramEnd"/>
      <w:r>
        <w:rPr>
          <w:rFonts w:ascii="Arial" w:hAnsi="Arial" w:cs="Arial"/>
          <w:sz w:val="20"/>
          <w:szCs w:val="20"/>
        </w:rPr>
        <w:t xml:space="preserve"> Чувашской Республики.</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30. Уполномоченные представители избирательного объединения</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Уполномоченные представители, указанные в </w:t>
      </w:r>
      <w:hyperlink r:id="rId11" w:history="1">
        <w:r>
          <w:rPr>
            <w:rFonts w:ascii="Arial" w:hAnsi="Arial" w:cs="Arial"/>
            <w:color w:val="0000FF"/>
            <w:sz w:val="20"/>
            <w:szCs w:val="20"/>
          </w:rPr>
          <w:t>части 1</w:t>
        </w:r>
      </w:hyperlink>
      <w:r>
        <w:rPr>
          <w:rFonts w:ascii="Arial" w:hAnsi="Arial" w:cs="Arial"/>
          <w:sz w:val="20"/>
          <w:szCs w:val="20"/>
        </w:rPr>
        <w:t xml:space="preserve"> настоящей статьи, назначаются решением съезда (конференции, общего собрания) избирательного объединения либо решением органа, уполномоченного на то съездом (конференцией, общим собранием) избирательного объединения. В решении указываются фамилия, имя и отчество, дата рождения,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каждого уполномоченного представителя, а также его полномочия. Для уполномоченного представителя избирательного объединения по финансовым вопросам указывается также, что он имеет право подписи платежных (расчетных) документов.</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lastRenderedPageBreak/>
        <w:t>Статья 31. Представление списков кандидатов и иных избирательных документов избирательными объединениями</w:t>
      </w:r>
    </w:p>
    <w:p w:rsidR="00FD42A9" w:rsidRPr="00FD42A9" w:rsidRDefault="00FD42A9" w:rsidP="00FD42A9">
      <w:pPr>
        <w:contextualSpacing/>
      </w:pPr>
      <w: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w:t>
      </w:r>
      <w:r w:rsidRPr="00FD42A9">
        <w:rPr>
          <w:rFonts w:ascii="Arial" w:hAnsi="Arial" w:cs="Arial"/>
          <w:sz w:val="20"/>
          <w:szCs w:val="20"/>
          <w:vertAlign w:val="superscript"/>
        </w:rPr>
        <w:t>3</w:t>
      </w:r>
      <w:r>
        <w:rPr>
          <w:rFonts w:ascii="Arial" w:hAnsi="Arial" w:cs="Arial"/>
          <w:sz w:val="20"/>
          <w:szCs w:val="20"/>
        </w:rPr>
        <w:t xml:space="preserve">. Избирательная комиссия Чувашской Республики в течение трех дней со дня приема документов, указанных в </w:t>
      </w:r>
      <w:hyperlink r:id="rId12" w:history="1">
        <w:r>
          <w:rPr>
            <w:rFonts w:ascii="Arial" w:hAnsi="Arial" w:cs="Arial"/>
            <w:color w:val="0000FF"/>
            <w:sz w:val="20"/>
            <w:szCs w:val="20"/>
          </w:rPr>
          <w:t>части 2.1</w:t>
        </w:r>
      </w:hyperlink>
      <w:r>
        <w:rPr>
          <w:rFonts w:ascii="Arial" w:hAnsi="Arial" w:cs="Arial"/>
          <w:sz w:val="20"/>
          <w:szCs w:val="20"/>
        </w:rPr>
        <w:t xml:space="preserve"> настоящей статьи, обязана принять решение о </w:t>
      </w:r>
      <w:proofErr w:type="gramStart"/>
      <w:r>
        <w:rPr>
          <w:rFonts w:ascii="Arial" w:hAnsi="Arial" w:cs="Arial"/>
          <w:sz w:val="20"/>
          <w:szCs w:val="20"/>
        </w:rPr>
        <w:t>заверении списка</w:t>
      </w:r>
      <w:proofErr w:type="gramEnd"/>
      <w:r>
        <w:rPr>
          <w:rFonts w:ascii="Arial" w:hAnsi="Arial" w:cs="Arial"/>
          <w:sz w:val="20"/>
          <w:szCs w:val="20"/>
        </w:rPr>
        <w:t xml:space="preserve"> кандидатов по одномандатным избирательным округам либо об отказе в его заверении, который должен быть мотивирован. </w:t>
      </w:r>
      <w:proofErr w:type="gramStart"/>
      <w:r>
        <w:rPr>
          <w:rFonts w:ascii="Arial" w:hAnsi="Arial" w:cs="Arial"/>
          <w:sz w:val="20"/>
          <w:szCs w:val="20"/>
        </w:rPr>
        <w:t xml:space="preserve">Основаниями для отказа в заверении списка являются отсутствие документов, предусмотренных </w:t>
      </w:r>
      <w:hyperlink r:id="rId13" w:history="1">
        <w:r>
          <w:rPr>
            <w:rFonts w:ascii="Arial" w:hAnsi="Arial" w:cs="Arial"/>
            <w:color w:val="0000FF"/>
            <w:sz w:val="20"/>
            <w:szCs w:val="20"/>
          </w:rPr>
          <w:t>пунктами 1</w:t>
        </w:r>
      </w:hyperlink>
      <w:r>
        <w:rPr>
          <w:rFonts w:ascii="Arial" w:hAnsi="Arial" w:cs="Arial"/>
          <w:sz w:val="20"/>
          <w:szCs w:val="20"/>
        </w:rPr>
        <w:t xml:space="preserve">, </w:t>
      </w:r>
      <w:hyperlink r:id="rId14" w:history="1">
        <w:r>
          <w:rPr>
            <w:rFonts w:ascii="Arial" w:hAnsi="Arial" w:cs="Arial"/>
            <w:color w:val="0000FF"/>
            <w:sz w:val="20"/>
            <w:szCs w:val="20"/>
          </w:rPr>
          <w:t>3</w:t>
        </w:r>
      </w:hyperlink>
      <w:r>
        <w:rPr>
          <w:rFonts w:ascii="Arial" w:hAnsi="Arial" w:cs="Arial"/>
          <w:sz w:val="20"/>
          <w:szCs w:val="20"/>
        </w:rPr>
        <w:t xml:space="preserve"> - </w:t>
      </w:r>
      <w:hyperlink r:id="rId15" w:history="1">
        <w:r>
          <w:rPr>
            <w:rFonts w:ascii="Arial" w:hAnsi="Arial" w:cs="Arial"/>
            <w:color w:val="0000FF"/>
            <w:sz w:val="20"/>
            <w:szCs w:val="20"/>
          </w:rPr>
          <w:t>7 части 2.1</w:t>
        </w:r>
      </w:hyperlink>
      <w:r>
        <w:rPr>
          <w:rFonts w:ascii="Arial" w:hAnsi="Arial" w:cs="Arial"/>
          <w:sz w:val="20"/>
          <w:szCs w:val="20"/>
        </w:rPr>
        <w:t xml:space="preserve"> настоящей статьи, несоблюдение требований к выдвижению кандидатов, предусмотренных Федеральным </w:t>
      </w:r>
      <w:hyperlink r:id="rId16" w:history="1">
        <w:r>
          <w:rPr>
            <w:rFonts w:ascii="Arial" w:hAnsi="Arial" w:cs="Arial"/>
            <w:color w:val="0000FF"/>
            <w:sz w:val="20"/>
            <w:szCs w:val="20"/>
          </w:rPr>
          <w:t>законом</w:t>
        </w:r>
      </w:hyperlink>
      <w:r>
        <w:rPr>
          <w:rFonts w:ascii="Arial" w:hAnsi="Arial" w:cs="Arial"/>
          <w:sz w:val="20"/>
          <w:szCs w:val="20"/>
        </w:rPr>
        <w:t xml:space="preserve"> "О политических партиях", Федеральным </w:t>
      </w:r>
      <w:hyperlink r:id="rId17" w:history="1">
        <w:r>
          <w:rPr>
            <w:rFonts w:ascii="Arial" w:hAnsi="Arial" w:cs="Arial"/>
            <w:color w:val="0000FF"/>
            <w:sz w:val="20"/>
            <w:szCs w:val="20"/>
          </w:rPr>
          <w:t>законом</w:t>
        </w:r>
      </w:hyperlink>
      <w:r>
        <w:rPr>
          <w:rFonts w:ascii="Arial" w:hAnsi="Arial" w:cs="Arial"/>
          <w:sz w:val="20"/>
          <w:szCs w:val="20"/>
        </w:rPr>
        <w:t xml:space="preserve">. Отсутствие заявления кандидата о согласии баллотироваться, предусмотренного </w:t>
      </w:r>
      <w:hyperlink r:id="rId18" w:history="1">
        <w:r>
          <w:rPr>
            <w:rFonts w:ascii="Arial" w:hAnsi="Arial" w:cs="Arial"/>
            <w:color w:val="0000FF"/>
            <w:sz w:val="20"/>
            <w:szCs w:val="20"/>
          </w:rPr>
          <w:t>пунктом 8 части 2.1</w:t>
        </w:r>
      </w:hyperlink>
      <w:r>
        <w:rPr>
          <w:rFonts w:ascii="Arial" w:hAnsi="Arial" w:cs="Arial"/>
          <w:sz w:val="20"/>
          <w:szCs w:val="20"/>
        </w:rPr>
        <w:t xml:space="preserve"> настоящей статьи, является основанием для исключения Избирательной комиссией Чувашской Республики соответствующего кандидата из списка кандидатов по одномандатным избирательным</w:t>
      </w:r>
      <w:proofErr w:type="gramEnd"/>
      <w:r>
        <w:rPr>
          <w:rFonts w:ascii="Arial" w:hAnsi="Arial" w:cs="Arial"/>
          <w:sz w:val="20"/>
          <w:szCs w:val="20"/>
        </w:rPr>
        <w:t xml:space="preserve"> округам до его заверения. Выдвижение в одномандатном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Избирательной комиссией Чувашской Республики всех кандидатов, выдвинутых в данном избирательном округе, из списка кандидатов по одномандатным избирательным округам до его заверения.</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8. …</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Проверка выполнения требований, предусмотренных </w:t>
      </w:r>
      <w:hyperlink w:anchor="Par16" w:history="1">
        <w:r>
          <w:rPr>
            <w:rFonts w:ascii="Arial" w:hAnsi="Arial" w:cs="Arial"/>
            <w:color w:val="0000FF"/>
            <w:sz w:val="20"/>
            <w:szCs w:val="20"/>
          </w:rPr>
          <w:t>частью 2.2 статьи 5</w:t>
        </w:r>
      </w:hyperlink>
      <w:r>
        <w:rPr>
          <w:rFonts w:ascii="Arial" w:hAnsi="Arial" w:cs="Arial"/>
          <w:sz w:val="20"/>
          <w:szCs w:val="20"/>
        </w:rPr>
        <w:t xml:space="preserve"> настоящего Закона, осуществляется по основаниям, установленным Федеральным </w:t>
      </w:r>
      <w:hyperlink r:id="rId19" w:history="1">
        <w:r>
          <w:rPr>
            <w:rFonts w:ascii="Arial" w:hAnsi="Arial" w:cs="Arial"/>
            <w:color w:val="0000FF"/>
            <w:sz w:val="20"/>
            <w:szCs w:val="20"/>
          </w:rPr>
          <w:t>законом</w:t>
        </w:r>
      </w:hyperlink>
      <w:r>
        <w:rPr>
          <w:rFonts w:ascii="Arial" w:hAnsi="Arial" w:cs="Arial"/>
          <w:sz w:val="20"/>
          <w:szCs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13</w:t>
      </w:r>
      <w:r w:rsidRPr="00FD42A9">
        <w:rPr>
          <w:rFonts w:ascii="Arial" w:hAnsi="Arial" w:cs="Arial"/>
          <w:sz w:val="20"/>
          <w:szCs w:val="20"/>
          <w:vertAlign w:val="superscript"/>
        </w:rPr>
        <w:t>2</w:t>
      </w:r>
      <w:r>
        <w:rPr>
          <w:rFonts w:ascii="Arial" w:hAnsi="Arial" w:cs="Arial"/>
          <w:sz w:val="20"/>
          <w:szCs w:val="20"/>
        </w:rPr>
        <w:t xml:space="preserve">. </w:t>
      </w:r>
      <w:proofErr w:type="gramStart"/>
      <w:r>
        <w:rPr>
          <w:rFonts w:ascii="Arial" w:hAnsi="Arial" w:cs="Arial"/>
          <w:sz w:val="20"/>
          <w:szCs w:val="20"/>
        </w:rPr>
        <w:t xml:space="preserve">Проверка выполнения требований, предусмотренных </w:t>
      </w:r>
      <w:hyperlink w:anchor="Par16" w:history="1">
        <w:r>
          <w:rPr>
            <w:rFonts w:ascii="Arial" w:hAnsi="Arial" w:cs="Arial"/>
            <w:color w:val="0000FF"/>
            <w:sz w:val="20"/>
            <w:szCs w:val="20"/>
          </w:rPr>
          <w:t>частью 2.2 статьи 5</w:t>
        </w:r>
      </w:hyperlink>
      <w:r>
        <w:rPr>
          <w:rFonts w:ascii="Arial" w:hAnsi="Arial" w:cs="Arial"/>
          <w:sz w:val="20"/>
          <w:szCs w:val="20"/>
        </w:rPr>
        <w:t xml:space="preserve"> настоящего Закона, осуществляется по основаниям, установленным Федеральным </w:t>
      </w:r>
      <w:hyperlink r:id="rId20" w:history="1">
        <w:r>
          <w:rPr>
            <w:rFonts w:ascii="Arial" w:hAnsi="Arial" w:cs="Arial"/>
            <w:color w:val="0000FF"/>
            <w:sz w:val="20"/>
            <w:szCs w:val="20"/>
          </w:rPr>
          <w:t>законом</w:t>
        </w:r>
      </w:hyperlink>
      <w:r>
        <w:rPr>
          <w:rFonts w:ascii="Arial" w:hAnsi="Arial" w:cs="Arial"/>
          <w:sz w:val="20"/>
          <w:szCs w:val="20"/>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35. Регистрация кандидатов, списков кандидатов</w:t>
      </w:r>
    </w:p>
    <w:p w:rsidR="00FD42A9" w:rsidRDefault="00FD42A9" w:rsidP="00FD42A9">
      <w:pPr>
        <w:autoSpaceDE w:val="0"/>
        <w:autoSpaceDN w:val="0"/>
        <w:adjustRightInd w:val="0"/>
        <w:spacing w:after="0" w:line="240" w:lineRule="auto"/>
        <w:contextualSpacing/>
        <w:jc w:val="both"/>
        <w:rPr>
          <w:rFonts w:ascii="Arial" w:hAnsi="Arial" w:cs="Arial"/>
          <w:sz w:val="20"/>
          <w:szCs w:val="20"/>
        </w:rPr>
      </w:pPr>
    </w:p>
    <w:p w:rsidR="00FD42A9" w:rsidRDefault="00FD42A9" w:rsidP="00FD42A9">
      <w:pPr>
        <w:autoSpaceDE w:val="0"/>
        <w:autoSpaceDN w:val="0"/>
        <w:adjustRightInd w:val="0"/>
        <w:spacing w:after="0" w:line="240" w:lineRule="auto"/>
        <w:ind w:firstLine="540"/>
        <w:contextualSpacing/>
        <w:jc w:val="both"/>
        <w:rPr>
          <w:rFonts w:ascii="Arial" w:hAnsi="Arial" w:cs="Arial"/>
          <w:sz w:val="20"/>
          <w:szCs w:val="20"/>
        </w:rPr>
      </w:pPr>
      <w:r>
        <w:rPr>
          <w:rFonts w:ascii="Arial" w:hAnsi="Arial" w:cs="Arial"/>
          <w:sz w:val="20"/>
          <w:szCs w:val="20"/>
        </w:rPr>
        <w:t>1</w:t>
      </w:r>
      <w:r w:rsidRPr="00FD42A9">
        <w:rPr>
          <w:rFonts w:ascii="Arial" w:hAnsi="Arial" w:cs="Arial"/>
          <w:sz w:val="20"/>
          <w:szCs w:val="20"/>
          <w:vertAlign w:val="superscript"/>
        </w:rPr>
        <w:t>2</w:t>
      </w:r>
      <w:r>
        <w:rPr>
          <w:rFonts w:ascii="Arial" w:hAnsi="Arial" w:cs="Arial"/>
          <w:sz w:val="20"/>
          <w:szCs w:val="20"/>
        </w:rPr>
        <w:t xml:space="preserve">. </w:t>
      </w:r>
      <w:proofErr w:type="gramStart"/>
      <w:r>
        <w:rPr>
          <w:rFonts w:ascii="Arial" w:hAnsi="Arial" w:cs="Arial"/>
          <w:sz w:val="20"/>
          <w:szCs w:val="20"/>
        </w:rPr>
        <w:t>При проведении выборов депутатов Государственного Совета Чувашской Республики кандидат представляет в избирательную комиссию, осуществляющую регистрацию кандидатов, списков кандидатов, вместе с иными документами, необходимыми для регистрации кандидата,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w:t>
      </w:r>
      <w:proofErr w:type="gramEnd"/>
      <w:r>
        <w:rPr>
          <w:rFonts w:ascii="Arial" w:hAnsi="Arial" w:cs="Arial"/>
          <w:sz w:val="20"/>
          <w:szCs w:val="20"/>
        </w:rPr>
        <w:t xml:space="preserve"> инструментами.</w:t>
      </w:r>
    </w:p>
    <w:p w:rsidR="007A3464" w:rsidRDefault="007A3464" w:rsidP="00FD42A9">
      <w:pPr>
        <w:autoSpaceDE w:val="0"/>
        <w:autoSpaceDN w:val="0"/>
        <w:adjustRightInd w:val="0"/>
        <w:spacing w:after="0" w:line="240" w:lineRule="auto"/>
        <w:ind w:firstLine="540"/>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10. Основаниями отказа в регистрации кандидата являются:</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1.1) несоблюдение кандидатом требований, установленных </w:t>
      </w:r>
      <w:hyperlink w:anchor="Par16" w:history="1">
        <w:r>
          <w:rPr>
            <w:rFonts w:ascii="Arial" w:hAnsi="Arial" w:cs="Arial"/>
            <w:color w:val="0000FF"/>
            <w:sz w:val="20"/>
            <w:szCs w:val="20"/>
          </w:rPr>
          <w:t>частью 2.2 статьи 5</w:t>
        </w:r>
      </w:hyperlink>
      <w:r>
        <w:rPr>
          <w:rFonts w:ascii="Arial" w:hAnsi="Arial" w:cs="Arial"/>
          <w:sz w:val="20"/>
          <w:szCs w:val="20"/>
        </w:rPr>
        <w:t xml:space="preserve"> настоящего Закона;</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9) превышение кандидатом при финансировании своей избирательной кампании более чем на 5 процентов установленного законом предельного размера расходования средств избирательного фонда;</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11. Основаниями отказа в регистрации списка кандидатов являются:</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7) превышение избирательным объединением при финансировании своей избирательной кампании более чем на 5 процентов установленного законом предельного размера расходования средств избирательного фонда;</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12. Основаниями исключения кандидата из заверенного списка кандидатов являются:</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w:t>
      </w:r>
      <w:r w:rsidRPr="00FD42A9">
        <w:rPr>
          <w:rFonts w:ascii="Arial" w:hAnsi="Arial" w:cs="Arial"/>
          <w:sz w:val="20"/>
          <w:szCs w:val="20"/>
          <w:vertAlign w:val="superscript"/>
        </w:rPr>
        <w:t>1</w:t>
      </w:r>
      <w:r>
        <w:rPr>
          <w:rFonts w:ascii="Arial" w:hAnsi="Arial" w:cs="Arial"/>
          <w:sz w:val="20"/>
          <w:szCs w:val="20"/>
        </w:rPr>
        <w:t xml:space="preserve">) несоблюдение кандидатом требований, установленных </w:t>
      </w:r>
      <w:hyperlink w:anchor="Par16" w:history="1">
        <w:r>
          <w:rPr>
            <w:rFonts w:ascii="Arial" w:hAnsi="Arial" w:cs="Arial"/>
            <w:color w:val="0000FF"/>
            <w:sz w:val="20"/>
            <w:szCs w:val="20"/>
          </w:rPr>
          <w:t>частью 2.2 статьи 5</w:t>
        </w:r>
      </w:hyperlink>
      <w:r>
        <w:rPr>
          <w:rFonts w:ascii="Arial" w:hAnsi="Arial" w:cs="Arial"/>
          <w:sz w:val="20"/>
          <w:szCs w:val="20"/>
        </w:rPr>
        <w:t xml:space="preserve"> настоящего Закона;</w:t>
      </w:r>
    </w:p>
    <w:p w:rsidR="00FD42A9" w:rsidRDefault="00FD42A9" w:rsidP="00FD42A9">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5. СТАТУС КАНДИДАТОВ</w:t>
      </w:r>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39. Статус доверенных лиц</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Доверенными лицами кандидатов, избирательных объединений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 Государственные и муниципальные служащие могут быть назначены доверенными лицами при условии их освобождения от исполнения служебных обязанностей на период исполнения полномочий доверенного лица. Регистрация доверенного лица, являющегося государственным или муниципальным служащим, осуществляется при условии представления в соответствующую избирательную комиссию приказа об освобождении его от исполнения служебных обязанностей (в том числе на период отпуска).</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6. ИНФОРМАЦИОННОЕ ОБЕСПЕЧЕНИЕ ВЫБОРОВ</w:t>
      </w:r>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lastRenderedPageBreak/>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42. Опросы общественного мнения</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w:t>
      </w:r>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47. Условия проведения предвыборной агитации на телевидении и радио</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7. В совместных агитационных мероприятиях могут участвовать только зарегистрированные кандидаты лично, в том числе от имени избирательного объединения - только зарегистрированные кандидаты, выдвинутые этим избирательным объединением, за исключением случаев, предусмотренных федеральным законом.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 В случае участия в совместном агитационном мероприятии зарегистрированного кандидата, выдвинутого избирательным объединением, которым выдвинут кандидат (в том числе в составе списка кандидатов), являющийся иностранным агентом, либо кандидатом, аффилированным с иностранным агентом, его выступление должно предваряться (сопровождаться) информацией о том, что избирательным объединением выдвинут такой кандидат.</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48. Условия проведения предвыборной агитации в периодических печатных изданиях</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15.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избирательного объединения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Pr>
          <w:rFonts w:ascii="Arial" w:hAnsi="Arial" w:cs="Arial"/>
          <w:sz w:val="20"/>
          <w:szCs w:val="20"/>
        </w:rPr>
        <w:t>разместил</w:t>
      </w:r>
      <w:proofErr w:type="gramEnd"/>
      <w:r>
        <w:rPr>
          <w:rFonts w:ascii="Arial" w:hAnsi="Arial" w:cs="Arial"/>
          <w:sz w:val="20"/>
          <w:szCs w:val="20"/>
        </w:rPr>
        <w:t xml:space="preserve"> эту публикацию. </w:t>
      </w:r>
      <w:proofErr w:type="gramStart"/>
      <w:r>
        <w:rPr>
          <w:rFonts w:ascii="Arial" w:hAnsi="Arial" w:cs="Arial"/>
          <w:sz w:val="20"/>
          <w:szCs w:val="20"/>
        </w:rPr>
        <w:t>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или избирательного объединения, выдвинувшего такого кандидата (таких кандидатов) (в том числе в составе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 том, что избирательным объединением выдвинут такой кандидат (такие кандидаты) (в</w:t>
      </w:r>
      <w:proofErr w:type="gramEnd"/>
      <w:r>
        <w:rPr>
          <w:rFonts w:ascii="Arial" w:hAnsi="Arial" w:cs="Arial"/>
          <w:sz w:val="20"/>
          <w:szCs w:val="20"/>
        </w:rPr>
        <w:t xml:space="preserve"> том числе в составе списка кандидатов), в соответствии с </w:t>
      </w:r>
      <w:hyperlink r:id="rId21" w:history="1">
        <w:r>
          <w:rPr>
            <w:rFonts w:ascii="Arial" w:hAnsi="Arial" w:cs="Arial"/>
            <w:color w:val="0000FF"/>
            <w:sz w:val="20"/>
            <w:szCs w:val="20"/>
          </w:rPr>
          <w:t>пунктом 9.4 статьи 48</w:t>
        </w:r>
      </w:hyperlink>
      <w:r>
        <w:rPr>
          <w:rFonts w:ascii="Arial" w:hAnsi="Arial" w:cs="Arial"/>
          <w:sz w:val="20"/>
          <w:szCs w:val="20"/>
        </w:rPr>
        <w:t xml:space="preserve"> Федерального закона. В размещаемых в периодических печатных изданиях агитационных материалах, в которых использованы высказывания, указанные в </w:t>
      </w:r>
      <w:hyperlink r:id="rId22" w:history="1">
        <w:r>
          <w:rPr>
            <w:rFonts w:ascii="Arial" w:hAnsi="Arial" w:cs="Arial"/>
            <w:color w:val="0000FF"/>
            <w:sz w:val="20"/>
            <w:szCs w:val="20"/>
          </w:rPr>
          <w:t>пункте 9.5 статьи 48</w:t>
        </w:r>
      </w:hyperlink>
      <w:r>
        <w:rPr>
          <w:rFonts w:ascii="Arial" w:hAnsi="Arial" w:cs="Arial"/>
          <w:sz w:val="20"/>
          <w:szCs w:val="20"/>
        </w:rPr>
        <w:t xml:space="preserve"> Федерального закона, должна помещаться информация об этом в соответствии с пунктом 9.5 статьи 48 Федерального закона. Ответственность за невыполнение данного требования несет редакция периодического печатного издания.</w:t>
      </w:r>
    </w:p>
    <w:p w:rsidR="00FD42A9" w:rsidRDefault="00FD42A9" w:rsidP="00FD42A9">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7. ФИНАНСИРОВАНИЕ ВЫБОРОВ</w:t>
      </w:r>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53. Порядок создания избирательных фондов</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Запрещается вносить пожертвования в избирательные фонды кандидатов, зарегистрированных кандидатов, избирательных объединений:</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14) юридическим лицам, зарегистрированным менее чем за один год до дня голосования на выборах депутатов Государственного Совета Чувашской Республики, а также юридическим и физическим лицам, являющимся иностранными агентами, и российским юридическим лицам, учрежденным иностранными агентами;</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9. Предельная сумма всех расходов из средств избирательного фонда кандидата не может превышать 10 миллионов рублей.</w:t>
      </w:r>
    </w:p>
    <w:p w:rsidR="007A3464" w:rsidRDefault="007A3464"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w:t>
      </w:r>
      <w:bookmarkStart w:id="1" w:name="_GoBack"/>
      <w:bookmarkEnd w:id="1"/>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10. Избирательные фонды избирательных объединений могут формироваться только за счет следующих денежных средств:</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Предельная сумма всех расходов из средств избирательного фонда избирательного объединения, выдвинувшего список кандидатов, не может превышать 100 миллионов рублей.</w:t>
      </w:r>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57. Контрольно-ревизионная служба при Избирательной комиссии Чувашской Республики</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При проведении выборов контрольно-ревизионная служба по поручению Избирательной комиссии Чувашской Республики:</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lastRenderedPageBreak/>
        <w:t>е) составляет документы о нарушениях, допущенных при финансировании выборов;</w:t>
      </w:r>
    </w:p>
    <w:p w:rsidR="00FD42A9" w:rsidRDefault="00FD42A9" w:rsidP="00FD42A9">
      <w:pPr>
        <w:autoSpaceDE w:val="0"/>
        <w:autoSpaceDN w:val="0"/>
        <w:adjustRightInd w:val="0"/>
        <w:spacing w:line="240" w:lineRule="auto"/>
        <w:contextualSpacing/>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Глава 8. ПОРЯДОК ГОЛОСОВАНИЯ, УСТАНОВЛЕНИЕ ИТОГОВ</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ГОЛОСОВАНИЯ, ОПРЕДЕЛЕНИЕ РЕЗУЛЬТАТОВ ВЫБОРОВ И ИХ</w:t>
      </w:r>
    </w:p>
    <w:p w:rsidR="00FD42A9" w:rsidRDefault="00FD42A9" w:rsidP="00FD42A9">
      <w:pPr>
        <w:autoSpaceDE w:val="0"/>
        <w:autoSpaceDN w:val="0"/>
        <w:adjustRightInd w:val="0"/>
        <w:spacing w:line="240" w:lineRule="auto"/>
        <w:contextualSpacing/>
        <w:jc w:val="center"/>
        <w:rPr>
          <w:rFonts w:ascii="Arial" w:hAnsi="Arial" w:cs="Arial"/>
          <w:sz w:val="20"/>
          <w:szCs w:val="20"/>
        </w:rPr>
      </w:pPr>
      <w:r>
        <w:rPr>
          <w:rFonts w:ascii="Arial" w:hAnsi="Arial" w:cs="Arial"/>
          <w:sz w:val="20"/>
          <w:szCs w:val="20"/>
        </w:rPr>
        <w:t>ОПУБЛИКОВАНИЕ</w:t>
      </w:r>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60. Избирательный бюллетень</w:t>
      </w:r>
    </w:p>
    <w:p w:rsidR="00FD42A9" w:rsidRDefault="00FD42A9" w:rsidP="00FD42A9">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after="0" w:line="240" w:lineRule="auto"/>
        <w:ind w:firstLine="540"/>
        <w:contextualSpacing/>
        <w:jc w:val="both"/>
        <w:rPr>
          <w:rFonts w:ascii="Arial" w:hAnsi="Arial" w:cs="Arial"/>
          <w:sz w:val="20"/>
          <w:szCs w:val="20"/>
        </w:rPr>
      </w:pPr>
      <w:r>
        <w:rPr>
          <w:rFonts w:ascii="Arial" w:hAnsi="Arial" w:cs="Arial"/>
          <w:sz w:val="20"/>
          <w:szCs w:val="20"/>
        </w:rPr>
        <w:t>8.</w:t>
      </w:r>
      <w:r w:rsidRPr="00FD42A9">
        <w:rPr>
          <w:rFonts w:ascii="Arial" w:hAnsi="Arial" w:cs="Arial"/>
          <w:sz w:val="20"/>
          <w:szCs w:val="20"/>
          <w:vertAlign w:val="superscript"/>
        </w:rPr>
        <w:t>1</w:t>
      </w:r>
      <w:r>
        <w:rPr>
          <w:rFonts w:ascii="Arial" w:hAnsi="Arial" w:cs="Arial"/>
          <w:sz w:val="20"/>
          <w:szCs w:val="20"/>
        </w:rPr>
        <w:t>.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 В случае</w:t>
      </w:r>
      <w:proofErr w:type="gramStart"/>
      <w:r>
        <w:rPr>
          <w:rFonts w:ascii="Arial" w:hAnsi="Arial" w:cs="Arial"/>
          <w:sz w:val="20"/>
          <w:szCs w:val="20"/>
        </w:rPr>
        <w:t>,</w:t>
      </w:r>
      <w:proofErr w:type="gramEnd"/>
      <w:r>
        <w:rPr>
          <w:rFonts w:ascii="Arial" w:hAnsi="Arial" w:cs="Arial"/>
          <w:sz w:val="20"/>
          <w:szCs w:val="20"/>
        </w:rPr>
        <w:t xml:space="preserve"> если такой кандидат (такие кандидаты) включен (включены) в состав списка кандидатов и сведения о нем (о них) не внесены в избирательный бюллетень в соответствии с </w:t>
      </w:r>
      <w:hyperlink r:id="rId23" w:history="1">
        <w:r>
          <w:rPr>
            <w:rFonts w:ascii="Arial" w:hAnsi="Arial" w:cs="Arial"/>
            <w:color w:val="0000FF"/>
            <w:sz w:val="20"/>
            <w:szCs w:val="20"/>
          </w:rPr>
          <w:t>частью 10</w:t>
        </w:r>
      </w:hyperlink>
      <w:r>
        <w:rPr>
          <w:rFonts w:ascii="Arial" w:hAnsi="Arial" w:cs="Arial"/>
          <w:sz w:val="20"/>
          <w:szCs w:val="20"/>
        </w:rPr>
        <w:t xml:space="preserve"> настоящей статьи, в избирательном бюллетене указывается, что в составе списка кандидатов выдвинут (выдвинуты) такой кандидат (такие кандидаты).</w:t>
      </w:r>
    </w:p>
    <w:p w:rsidR="00FD42A9" w:rsidRDefault="00FD42A9" w:rsidP="00FD42A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21. В день голосования (последний день голосования) после окончания времени голосования неиспользованные избирательные бюллетени, находящиеся в избирательных комиссиях, </w:t>
      </w:r>
      <w:proofErr w:type="gramStart"/>
      <w:r>
        <w:rPr>
          <w:rFonts w:ascii="Arial" w:hAnsi="Arial" w:cs="Arial"/>
          <w:sz w:val="20"/>
          <w:szCs w:val="20"/>
        </w:rPr>
        <w:t>подсчитываются и погашаются</w:t>
      </w:r>
      <w:proofErr w:type="gramEnd"/>
      <w:r>
        <w:rPr>
          <w:rFonts w:ascii="Arial" w:hAnsi="Arial" w:cs="Arial"/>
          <w:sz w:val="20"/>
          <w:szCs w:val="20"/>
        </w:rPr>
        <w:t xml:space="preserve">. В участковых избирательных комиссиях эта процедура осуществляется в соответствии с </w:t>
      </w:r>
      <w:hyperlink w:anchor="Par69" w:history="1">
        <w:r>
          <w:rPr>
            <w:rFonts w:ascii="Arial" w:hAnsi="Arial" w:cs="Arial"/>
            <w:color w:val="0000FF"/>
            <w:sz w:val="20"/>
            <w:szCs w:val="20"/>
          </w:rPr>
          <w:t>частью 3 статьи 64</w:t>
        </w:r>
      </w:hyperlink>
      <w:r>
        <w:rPr>
          <w:rFonts w:ascii="Arial" w:hAnsi="Arial" w:cs="Arial"/>
          <w:sz w:val="20"/>
          <w:szCs w:val="20"/>
        </w:rPr>
        <w:t xml:space="preserve"> настоящего Закона. В иных избирательных комиссиях при погашении неиспользованных избирательных бюллетеней составляется акт, в котором указывается число погашенных избирательных бюллетеней. При погашении избирательных бюллетеней вправе присутствовать лица, указанные в </w:t>
      </w:r>
      <w:hyperlink r:id="rId24"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Эти избирательные бюллетени хранятся в опечатанном виде секретарем избирательной комиссии вместе с другой документацией избирательной комиссии.</w:t>
      </w:r>
    </w:p>
    <w:p w:rsidR="00FD42A9" w:rsidRDefault="00FD42A9" w:rsidP="00FD42A9">
      <w:pPr>
        <w:autoSpaceDE w:val="0"/>
        <w:autoSpaceDN w:val="0"/>
        <w:adjustRightInd w:val="0"/>
        <w:spacing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line="240" w:lineRule="auto"/>
        <w:ind w:firstLine="540"/>
        <w:contextualSpacing/>
        <w:jc w:val="both"/>
        <w:rPr>
          <w:rFonts w:ascii="Arial" w:hAnsi="Arial" w:cs="Arial"/>
          <w:sz w:val="20"/>
          <w:szCs w:val="20"/>
        </w:rPr>
      </w:pPr>
      <w:r>
        <w:rPr>
          <w:rFonts w:ascii="Arial" w:hAnsi="Arial" w:cs="Arial"/>
          <w:sz w:val="20"/>
          <w:szCs w:val="20"/>
        </w:rPr>
        <w:t>Статья 64. Порядок подсчета голосов избирателей и составления протокола об итогах голосования участковой избирательной комиссией</w:t>
      </w:r>
    </w:p>
    <w:p w:rsidR="00FD42A9" w:rsidRDefault="00FD42A9" w:rsidP="00FD42A9">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FD42A9" w:rsidRDefault="00FD42A9" w:rsidP="00FD42A9">
      <w:pPr>
        <w:autoSpaceDE w:val="0"/>
        <w:autoSpaceDN w:val="0"/>
        <w:adjustRightInd w:val="0"/>
        <w:spacing w:after="0" w:line="240" w:lineRule="auto"/>
        <w:ind w:firstLine="540"/>
        <w:contextualSpacing/>
        <w:jc w:val="both"/>
        <w:rPr>
          <w:rFonts w:ascii="Arial" w:hAnsi="Arial" w:cs="Arial"/>
          <w:sz w:val="20"/>
          <w:szCs w:val="20"/>
        </w:rPr>
      </w:pPr>
      <w:bookmarkStart w:id="2" w:name="Par69"/>
      <w:bookmarkEnd w:id="2"/>
      <w:r>
        <w:rPr>
          <w:rFonts w:ascii="Arial" w:hAnsi="Arial" w:cs="Arial"/>
          <w:sz w:val="20"/>
          <w:szCs w:val="20"/>
        </w:rPr>
        <w:t xml:space="preserve">3. </w:t>
      </w:r>
      <w:proofErr w:type="gramStart"/>
      <w:r>
        <w:rPr>
          <w:rFonts w:ascii="Arial" w:hAnsi="Arial" w:cs="Arial"/>
          <w:sz w:val="20"/>
          <w:szCs w:val="20"/>
        </w:rPr>
        <w:t xml:space="preserve">После окончания времени голосования члены участковой избирательной комиссии с правом решающего голоса в присутствии наблюдателей, иных лиц, указанных в </w:t>
      </w:r>
      <w:hyperlink r:id="rId25"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подсчитывают и погашают, отрезая левый нижний угол, неиспользованные избирательные бюллетени, затем оглашают и вносят в </w:t>
      </w:r>
      <w:hyperlink r:id="rId26" w:history="1">
        <w:r>
          <w:rPr>
            <w:rFonts w:ascii="Arial" w:hAnsi="Arial" w:cs="Arial"/>
            <w:color w:val="0000FF"/>
            <w:sz w:val="20"/>
            <w:szCs w:val="20"/>
          </w:rPr>
          <w:t>строку 6</w:t>
        </w:r>
      </w:hyperlink>
      <w:r>
        <w:rPr>
          <w:rFonts w:ascii="Arial" w:hAnsi="Arial" w:cs="Arial"/>
          <w:sz w:val="20"/>
          <w:szCs w:val="20"/>
        </w:rPr>
        <w:t xml:space="preserve"> протокола об итогах голосования и его увеличенной формы число погашенных избирательных бюллетеней, которое определяется как сумма числа неиспользованных</w:t>
      </w:r>
      <w:proofErr w:type="gramEnd"/>
      <w:r>
        <w:rPr>
          <w:rFonts w:ascii="Arial" w:hAnsi="Arial" w:cs="Arial"/>
          <w:sz w:val="20"/>
          <w:szCs w:val="20"/>
        </w:rPr>
        <w:t xml:space="preserve"> избирательных бюллетеней и числа избирательных бюллетеней, испорченных избирателями при проведении голосования. С погашенными избирательными бюллетенями вправе визуально ознакомиться присутствующие при подсчете голосов лица, указанные в </w:t>
      </w:r>
      <w:hyperlink r:id="rId27"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под контролем членов участковой избирательной комиссии с правом решающего голоса.</w:t>
      </w:r>
    </w:p>
    <w:p w:rsidR="00526AFD" w:rsidRDefault="00526AFD" w:rsidP="00FD42A9">
      <w:pPr>
        <w:contextualSpacing/>
      </w:pPr>
    </w:p>
    <w:sectPr w:rsidR="00526AFD" w:rsidSect="00FD42A9">
      <w:pgSz w:w="11906" w:h="16838"/>
      <w:pgMar w:top="709"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2A9"/>
    <w:rsid w:val="00526AFD"/>
    <w:rsid w:val="007A3464"/>
    <w:rsid w:val="00FD4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6456" TargetMode="External"/><Relationship Id="rId13" Type="http://schemas.openxmlformats.org/officeDocument/2006/relationships/hyperlink" Target="https://login.consultant.ru/link/?req=doc&amp;base=RLAW098&amp;n=170814&amp;dst=101397" TargetMode="External"/><Relationship Id="rId18" Type="http://schemas.openxmlformats.org/officeDocument/2006/relationships/hyperlink" Target="https://login.consultant.ru/link/?req=doc&amp;base=RLAW098&amp;n=170814&amp;dst=102356" TargetMode="External"/><Relationship Id="rId26" Type="http://schemas.openxmlformats.org/officeDocument/2006/relationships/hyperlink" Target="https://login.consultant.ru/link/?req=doc&amp;base=RLAW098&amp;n=170814&amp;dst=102214" TargetMode="External"/><Relationship Id="rId3" Type="http://schemas.openxmlformats.org/officeDocument/2006/relationships/settings" Target="settings.xml"/><Relationship Id="rId21" Type="http://schemas.openxmlformats.org/officeDocument/2006/relationships/hyperlink" Target="https://login.consultant.ru/link/?req=doc&amp;base=LAW&amp;n=476456&amp;dst=103174" TargetMode="External"/><Relationship Id="rId7" Type="http://schemas.openxmlformats.org/officeDocument/2006/relationships/hyperlink" Target="https://login.consultant.ru/link/?req=doc&amp;base=LAW&amp;n=451740" TargetMode="External"/><Relationship Id="rId12" Type="http://schemas.openxmlformats.org/officeDocument/2006/relationships/hyperlink" Target="https://login.consultant.ru/link/?req=doc&amp;base=RLAW098&amp;n=170814&amp;dst=101396" TargetMode="External"/><Relationship Id="rId17" Type="http://schemas.openxmlformats.org/officeDocument/2006/relationships/hyperlink" Target="https://login.consultant.ru/link/?req=doc&amp;base=LAW&amp;n=476456&amp;dst=100528" TargetMode="External"/><Relationship Id="rId25" Type="http://schemas.openxmlformats.org/officeDocument/2006/relationships/hyperlink" Target="https://login.consultant.ru/link/?req=doc&amp;base=LAW&amp;n=476456&amp;dst=10283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52899" TargetMode="External"/><Relationship Id="rId20" Type="http://schemas.openxmlformats.org/officeDocument/2006/relationships/hyperlink" Target="https://login.consultant.ru/link/?req=doc&amp;base=LAW&amp;n=45174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51740" TargetMode="External"/><Relationship Id="rId11" Type="http://schemas.openxmlformats.org/officeDocument/2006/relationships/hyperlink" Target="https://login.consultant.ru/link/?req=doc&amp;base=RLAW098&amp;n=170814&amp;dst=100397" TargetMode="External"/><Relationship Id="rId24" Type="http://schemas.openxmlformats.org/officeDocument/2006/relationships/hyperlink" Target="https://login.consultant.ru/link/?req=doc&amp;base=LAW&amp;n=476456&amp;dst=102836" TargetMode="External"/><Relationship Id="rId5" Type="http://schemas.openxmlformats.org/officeDocument/2006/relationships/hyperlink" Target="https://login.consultant.ru/link/?req=doc&amp;base=LAW&amp;n=476456" TargetMode="External"/><Relationship Id="rId15" Type="http://schemas.openxmlformats.org/officeDocument/2006/relationships/hyperlink" Target="https://login.consultant.ru/link/?req=doc&amp;base=RLAW098&amp;n=170814&amp;dst=101403" TargetMode="External"/><Relationship Id="rId23" Type="http://schemas.openxmlformats.org/officeDocument/2006/relationships/hyperlink" Target="https://login.consultant.ru/link/?req=doc&amp;base=RLAW098&amp;n=170814&amp;dst=102199" TargetMode="External"/><Relationship Id="rId28" Type="http://schemas.openxmlformats.org/officeDocument/2006/relationships/fontTable" Target="fontTable.xml"/><Relationship Id="rId10" Type="http://schemas.openxmlformats.org/officeDocument/2006/relationships/hyperlink" Target="https://login.consultant.ru/link/?req=doc&amp;base=LAW&amp;n=476456" TargetMode="External"/><Relationship Id="rId19" Type="http://schemas.openxmlformats.org/officeDocument/2006/relationships/hyperlink" Target="https://login.consultant.ru/link/?req=doc&amp;base=LAW&amp;n=45174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2899" TargetMode="External"/><Relationship Id="rId14" Type="http://schemas.openxmlformats.org/officeDocument/2006/relationships/hyperlink" Target="https://login.consultant.ru/link/?req=doc&amp;base=RLAW098&amp;n=170814&amp;dst=101399" TargetMode="External"/><Relationship Id="rId22" Type="http://schemas.openxmlformats.org/officeDocument/2006/relationships/hyperlink" Target="https://login.consultant.ru/link/?req=doc&amp;base=LAW&amp;n=476456&amp;dst=802" TargetMode="External"/><Relationship Id="rId27" Type="http://schemas.openxmlformats.org/officeDocument/2006/relationships/hyperlink" Target="https://login.consultant.ru/link/?req=doc&amp;base=LAW&amp;n=476456&amp;dst=1028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2578</Words>
  <Characters>14699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Шамбулина Светлана Витальевна</cp:lastModifiedBy>
  <cp:revision>2</cp:revision>
  <dcterms:created xsi:type="dcterms:W3CDTF">2024-06-05T10:43:00Z</dcterms:created>
  <dcterms:modified xsi:type="dcterms:W3CDTF">2024-06-05T12:56:00Z</dcterms:modified>
</cp:coreProperties>
</file>