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>
        <w:rPr>
          <w:b/>
        </w:rPr>
        <w:t xml:space="preserve">Годовой отчет </w:t>
      </w:r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>
        <w:rPr>
          <w:b/>
        </w:rPr>
        <w:t xml:space="preserve">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   </w:t>
      </w:r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>
        <w:t xml:space="preserve">Отдел строительства администрации города Канаш</w:t>
      </w:r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  <w:jc w:val="center"/>
      </w:pPr>
      <w:r/>
      <w:r/>
    </w:p>
    <w:p>
      <w:pPr>
        <w:pStyle w:val="855"/>
      </w:pPr>
      <w:r/>
      <w:r/>
    </w:p>
    <w:p>
      <w:pPr>
        <w:pStyle w:val="855"/>
        <w:jc w:val="center"/>
      </w:pPr>
      <w:r>
        <w:t xml:space="preserve">2023</w:t>
      </w:r>
      <w:r>
        <w:t xml:space="preserve"> год</w:t>
      </w:r>
      <w:r/>
    </w:p>
    <w:p>
      <w:pPr>
        <w:pStyle w:val="854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</w:t>
      </w:r>
      <w:r>
        <w:rPr>
          <w:rFonts w:ascii="Times New Roman" w:hAnsi="Times New Roman" w:cs="Times New Roman"/>
          <w:sz w:val="24"/>
          <w:szCs w:val="24"/>
        </w:rPr>
        <w:t xml:space="preserve">я программа города Канаш Чувашской Республики «Формирование современной городской среды на территории города Канаш Чувашской Республики» (далее – Программа) утверждена постановлением администрации города Канаш Чувашской Республики от 20.12.2017 г. № 1890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с изменениями от 27.06.2018 г. № 735, от 27.12.2018 г. № 1642, от 30.04.2019 г. № 442, от 11.07.2019 № 720, от 13.04.2020 г. № 304, от 30.10.2020 г.№ 774, от 30.03.2021 г. № 206, от 06.05.2022 г. № 635, от 15.02.2023 г. № 115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, от 25.10.2023 г. № 1139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Основным разработчиком Программы является отдел строительства администрации города Канаш Чувашской Республики. 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Целью Программы является повышение качества и комфорта городской среды на территории города Канаш Чувашской Республики.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достижения цели в рамках реализации Программы предусматривается решение следующих задач: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формирование комфортной городской среды для жителей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создание условий для повышения благоустройства территорий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улучшение эстетического облика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повышение вовлеченности заинтересованных граждан, организаций в реализацию мероприятий по благоустройству территорий города.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Программа включает в себя две подпрограммы: </w:t>
      </w:r>
      <w:r/>
    </w:p>
    <w:p>
      <w:pPr>
        <w:contextualSpacing/>
        <w:ind w:firstLine="720"/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«</w:t>
      </w:r>
      <w:hyperlink r:id="rId10" w:tooltip="https://internet.garant.ru/#/document/42546360/entry/10000" w:anchor="/document/42546360/entry/10000" w:history="1">
        <w:r>
          <w:rPr>
            <w:rFonts w:ascii="Times New Roman" w:hAnsi="Times New Roman" w:eastAsia="PT Serif" w:cs="Times New Roman"/>
            <w:color w:val="000000"/>
            <w:sz w:val="24"/>
            <w:szCs w:val="24"/>
            <w:lang w:eastAsia="ar-SA"/>
          </w:rPr>
          <w:t xml:space="preserve">Благоустройство дворовых и общественных территорий</w:t>
        </w:r>
      </w:hyperlink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», которая состоит из двух Основных мероприятий:</w:t>
      </w:r>
      <w:r/>
    </w:p>
    <w:p>
      <w:pPr>
        <w:pStyle w:val="854"/>
        <w:numPr>
          <w:ilvl w:val="0"/>
          <w:numId w:val="3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Содействие благоустройству города Канаш Чувашской Республики</w:t>
      </w:r>
      <w:r>
        <w:rPr>
          <w:sz w:val="24"/>
          <w:szCs w:val="24"/>
        </w:rPr>
        <w:t xml:space="preserve">»;</w:t>
      </w:r>
      <w:r/>
    </w:p>
    <w:p>
      <w:pPr>
        <w:pStyle w:val="854"/>
        <w:numPr>
          <w:ilvl w:val="0"/>
          <w:numId w:val="3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«Реализация мероприятий регионального проекта «Формирование комфортной городской среды»;</w:t>
      </w:r>
      <w:r/>
    </w:p>
    <w:p>
      <w:pPr>
        <w:contextualSpacing/>
        <w:ind w:firstLine="720"/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«</w:t>
      </w:r>
      <w:hyperlink r:id="rId11" w:tooltip="https://internet.garant.ru/#/document/42546360/entry/2000" w:anchor="/document/42546360/entry/2000" w:history="1">
        <w:r>
          <w:rPr>
            <w:rFonts w:ascii="Times New Roman" w:hAnsi="Times New Roman" w:eastAsia="PT Serif" w:cs="Times New Roman"/>
            <w:color w:val="000000"/>
            <w:sz w:val="24"/>
            <w:szCs w:val="24"/>
            <w:lang w:eastAsia="ar-SA"/>
          </w:rPr>
          <w:t xml:space="preserve">Обустройство мест массового отдыха населения (городских парков)</w:t>
        </w:r>
      </w:hyperlink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», которая состоит из Основного мероприятия:</w:t>
      </w:r>
      <w:r/>
    </w:p>
    <w:p>
      <w:pPr>
        <w:pStyle w:val="854"/>
        <w:numPr>
          <w:ilvl w:val="0"/>
          <w:numId w:val="4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Обустройство мест массового отдыха населения (городского парка)».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 (городских парков).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Ожидаемые результаты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повышение уровня благоустройства дворовых и общественных территорий города;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создание комфортных условий проживания для населения жителей города;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улучшение эстетического облика города;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улучшение качества жизни горожан;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вовлечение заинтересованных граждан, организаций в реализацию мероприятий по бл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аг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оустройству территорий города.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jc w:val="center"/>
        <w:rPr>
          <w:rFonts w:ascii="Times New Roman" w:hAnsi="Times New Roman" w:eastAsia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2.  Основные результаты реализации муниципальн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ой программы, достигнутые в 2023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 году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Основные результаты реализации Программы, достиг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нутые в 2023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году, отражены в Таблицах № 1, 2, 3, 4, 5.</w:t>
      </w:r>
      <w:r/>
    </w:p>
    <w:p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№ 1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города Ка</w:t>
      </w:r>
      <w:r>
        <w:rPr>
          <w:rFonts w:ascii="Times New Roman" w:hAnsi="Times New Roman" w:cs="Times New Roman"/>
          <w:b/>
          <w:sz w:val="24"/>
          <w:szCs w:val="24"/>
        </w:rPr>
        <w:t xml:space="preserve">наш Чувашской Республики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/>
    </w:p>
    <w:tbl>
      <w:tblPr>
        <w:tblW w:w="1015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222"/>
        <w:gridCol w:w="2608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 города Канаш (подпрограммы муниципальной программы города Канаш), основного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выполнении соответствующего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 "Формирование современной городской среды на территории города Канаш Чувашской Республики"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г. Канаш </w:t>
            </w:r>
            <w:r>
              <w:rPr>
                <w:sz w:val="20"/>
                <w:szCs w:val="20"/>
              </w:rPr>
              <w:t xml:space="preserve">благоустроены 1 общественная и 10</w:t>
            </w:r>
            <w:r>
              <w:rPr>
                <w:sz w:val="20"/>
                <w:szCs w:val="20"/>
              </w:rPr>
              <w:t xml:space="preserve"> дворовых территорий, установлена 1 межквартал</w:t>
            </w:r>
            <w:r>
              <w:rPr>
                <w:sz w:val="20"/>
                <w:szCs w:val="20"/>
              </w:rPr>
              <w:t xml:space="preserve">ьная детская игровая площадка, 2</w:t>
            </w:r>
            <w:r>
              <w:rPr>
                <w:sz w:val="20"/>
                <w:szCs w:val="20"/>
              </w:rPr>
              <w:t xml:space="preserve"> придомовые детские игровые </w:t>
            </w:r>
            <w:r>
              <w:rPr>
                <w:sz w:val="20"/>
                <w:szCs w:val="20"/>
              </w:rPr>
              <w:t xml:space="preserve">площадки, а также реализовано 5 инициативных проектов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«Благоустройство дворовых и общественных территорий»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2 из 2 запланированных основных мероприятия подпрограммы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Содействие благоустройству города Канаш Чувашской Республики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 «Реализация мероприятий регионального проекта «Формирование комфортной городской среды»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«Обустройство мест массового отдыха населения (городских парков)»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2019 года подпрограмма не реализуется на территории города Канаш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Обустройство мест массового отдыха населения (городского парка)»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№ 2</w:t>
      </w:r>
      <w:r/>
    </w:p>
    <w:p>
      <w:pPr>
        <w:ind w:firstLine="709"/>
        <w:jc w:val="center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города Канаш, подпрограмм муниципальной программы города Канаш Чувашской Республики (программ)</w:t>
      </w:r>
      <w:r/>
    </w:p>
    <w:p>
      <w:pPr>
        <w:ind w:firstLine="709"/>
        <w:jc w:val="center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72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71"/>
        <w:gridCol w:w="884"/>
        <w:gridCol w:w="851"/>
        <w:gridCol w:w="850"/>
        <w:gridCol w:w="854"/>
        <w:gridCol w:w="989"/>
        <w:gridCol w:w="1242"/>
        <w:gridCol w:w="1525"/>
        <w:gridCol w:w="17"/>
      </w:tblGrid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N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Наименование целевого индикатора и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Единица измерения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города Канаш Чувашской Республики, подпрограммы муниципальной программы города  Канаш Чувашской Республики (программы)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Обоснование отклонений значений целевых индикаторов и показателей на конец отчетного года (при наличии)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города Канаш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подпрограмма муниципальной программы города Канаш (программы) текущий год (план)</w:t>
            </w:r>
            <w:r/>
          </w:p>
        </w:tc>
      </w:tr>
      <w:tr>
        <w:trPr>
          <w:gridAfter w:val="1"/>
          <w:trHeight w:val="184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год, предшествующий отчетному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отчетный год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первоначальный 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уточненный 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факт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8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  Канаш Чувашской Республики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современной городской среды»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8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и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общественных территорий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в рамках </w:t>
            </w:r>
            <w:hyperlink r:id="rId12" w:tooltip="https://internet.garant.ru/#/document/73064042/entry/0" w:anchor="/document/73064042/entry/0" w:history="1">
              <w:r>
                <w:rPr>
                  <w:rStyle w:val="861"/>
                  <w:rFonts w:ascii="Times New Roman" w:hAnsi="Times New Roman" w:eastAsia="PT Serif" w:cs="Times New Roman"/>
                  <w:color w:val="000000" w:themeColor="text1"/>
                  <w:sz w:val="16"/>
                  <w:szCs w:val="16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 Главы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финансового участия граждан, организаций в выполнении мероприятий по дополнительному перечню видов работ по благоустройству дворовых и общественных территорий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благоустроенных дворовых территорий от общего количества дворовых территорий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27,9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участия граждан, организаций в выполнении мероприятий по проектированию и благоустройству дворовых и общественных территорий в рамках </w:t>
            </w:r>
            <w:hyperlink r:id="rId13" w:tooltip="https://internet.garant.ru/#/document/73064042/entry/0" w:anchor="/document/73064042/entry/0" w:history="1">
              <w:r>
                <w:rPr>
                  <w:rStyle w:val="861"/>
                  <w:rFonts w:ascii="Times New Roman" w:hAnsi="Times New Roman" w:eastAsia="PT Serif" w:cs="Times New Roman"/>
                  <w:color w:val="000000" w:themeColor="text1"/>
                  <w:sz w:val="16"/>
                  <w:szCs w:val="16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 Главы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участия физических лиц в реализации проектов развития общественной инфраструктуры, основанных на местных инициативах, от общей стоимости проекта.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участия юридических лиц в реализации проектов развития общественной инфраструктуры, основанных на местных инициативах, от общей стоимости проекта.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участия реализации проектов развития общественной инфраструктуры, основанных на местных инициативах и направленных на формирование у граждан духовно-патриотических ценностей, сохранения культурного наследия, чувства верности конституционному долгу, беззаве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тного служения Отечеству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, от общей стоимости проекта.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/>
          </w:p>
        </w:tc>
      </w:tr>
      <w:tr>
        <w:trPr>
          <w:gridAfter w:val="1"/>
          <w:trHeight w:val="18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мест массового отдыха населения (городских парков)»</w:t>
            </w:r>
            <w:r/>
          </w:p>
        </w:tc>
      </w:tr>
      <w:tr>
        <w:trPr>
          <w:gridAfter w:val="1"/>
          <w:trHeight w:val="18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обустройства мест массового отдыха населения (городских парков)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№ 3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 использовании бюджетных ассигнований бюджета города Канаш на реализацию муниципальной программы города Канаш Чувашской Республики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572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984"/>
        <w:gridCol w:w="1247"/>
        <w:gridCol w:w="1525"/>
        <w:gridCol w:w="2079"/>
        <w:gridCol w:w="194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 города Канаш (подпрограммы муниципальной программы города Канаш, программы)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91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тыс. 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расходов на отчетный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 за отчетный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расходов с начала реализации муниципальной программы города Канаш (подпрограммы муниципальной программы города Канаш, программы)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города Канаш, программы)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современной городской среды»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147896,8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112731,4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1138829,6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686885,2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«Благоустройство дворовых и общественных территорий»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147896,8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112731,4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1137741,9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685800,4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Обустройство мест массового отдыха населения (городских парков)»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1084,8</w:t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№ 4</w:t>
      </w:r>
      <w:r/>
    </w:p>
    <w:p>
      <w:pPr>
        <w:ind w:firstLine="709"/>
        <w:jc w:val="center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финансировании реализации муниципальной программы города Канаш Чувашской Республики за счет всех и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сточников финансирования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/>
    </w:p>
    <w:p>
      <w:pPr>
        <w:ind w:firstLine="709"/>
        <w:jc w:val="center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526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030"/>
        <w:gridCol w:w="2268"/>
        <w:gridCol w:w="2268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План, тыс. руб.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расходы, тыс. руб. 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147896,8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112731,4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17365,2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17365,2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82336,7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52820,5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44903,0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39803,8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2741,9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147896,8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112731,4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17365,2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17365,2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82336,7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52820,5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44903,0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39803,8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2741,9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60"/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60"/>
            </w:pPr>
            <w:r>
              <w:rPr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60"/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60"/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60"/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№ 5</w:t>
      </w: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финансировании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подпрограмм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Канаш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города Канаш Чувашской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счет всех источников финансирования за 2023 год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4486" w:type="dxa"/>
        <w:tblInd w:w="-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980"/>
        <w:gridCol w:w="980"/>
        <w:gridCol w:w="840"/>
        <w:gridCol w:w="1806"/>
        <w:gridCol w:w="1275"/>
        <w:gridCol w:w="993"/>
        <w:gridCol w:w="850"/>
        <w:gridCol w:w="850"/>
        <w:gridCol w:w="850"/>
        <w:gridCol w:w="850"/>
        <w:gridCol w:w="85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Статус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подпрограммы муниципальной программы, основного мероприятия, целевого показателя (индикатора)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Ответственный исполнитель, соисполнители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Фактические данные за год, предшествующий отчетном*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за отчетный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Плановые данные на очередной финансовый 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распорядитель средств бюджета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расходов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план**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сводная роспись на 1 января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сводная роспись на 31 декабря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факт***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55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дворовых и общественных территорий»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строительства администрации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957/903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А510000000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136216,9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147896,8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114947,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147896,8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112731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179619,2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17492,9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17365,2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17365,2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17365,2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17365,2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107993,2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3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79151,6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62824,4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52820,5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18039,3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9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38252,0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44903,0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34257,6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44903,0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39803,8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1320,4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2741,9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Целевые показатели(индикаторы) Подпрограммы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Количество благоустроенных общественных территорий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в рамках </w:t>
            </w:r>
            <w:hyperlink r:id="rId14" w:tooltip="https://internet.garant.ru/#/document/73064042/entry/0" w:anchor="/document/73064042/entry/0" w:history="1">
              <w:r>
                <w:rPr>
                  <w:rStyle w:val="861"/>
                  <w:rFonts w:ascii="Times New Roman" w:hAnsi="Times New Roman" w:eastAsia="PT Serif" w:cs="Times New Roman"/>
                  <w:color w:val="000000" w:themeColor="text1"/>
                  <w:sz w:val="20"/>
                  <w:szCs w:val="20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 Главы 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финансового участия граждан, организаций в выполнении мероприятий по дополнительному перечню видов работ по благоустройству дворовых и общественных 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9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Доля 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Доля финансового участия граждан, организаций в выполнении мероприятий по проектированию и благоустройству дворовых и общественных территорий в рамках </w:t>
            </w:r>
            <w:hyperlink r:id="rId15" w:tooltip="https://internet.garant.ru/#/document/73064042/entry/0" w:anchor="/document/73064042/entry/0" w:history="1">
              <w:r>
                <w:rPr>
                  <w:rStyle w:val="861"/>
                  <w:rFonts w:ascii="Times New Roman" w:hAnsi="Times New Roman" w:eastAsia="PT Serif" w:cs="Times New Roman"/>
                  <w:color w:val="000000" w:themeColor="text1"/>
                  <w:sz w:val="20"/>
                  <w:szCs w:val="20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 Главы 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Доля финансового участия физических лиц в реализации проектов развития общественной инфраструктуры, основанных на местных инициативах, от общей стоимости 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Доля финансового участия юридических лиц в реализации проектов развития общественной инфраструктуры, основанных на местных инициативах, от общей стоимости 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PT Serif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Доля финансового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участия реализации проектов развития общественной инфраструктуры, основанных на местных инициативах и направленных на формирование у граждан духовно-патриотических ценностей, сохранения культурного наследия, чувства верности конституционному долгу, беззаве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тного служения Отечеству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, от общей стоимости проекта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Содействие благоустройству города Канаш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строительства администрации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56"/>
              <w:jc w:val="both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А510200000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100401,2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130356,2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97406,6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130356,2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95190,8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63286,0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62514,9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82214,0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62701,6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82214,0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52697,7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17275,7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36565,9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44850,3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34205,0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44850,3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39751,2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41760,3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1320,4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3291,9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500,0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3291,9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2741,9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4250,0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мероприятий регионального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строительства администрации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56"/>
              <w:jc w:val="both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903/957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6"/>
              <w:jc w:val="both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А51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35815,7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17540,6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17540,6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17540,6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17540,6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116333,2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45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17492,9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17365,2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17365,2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17365,2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17365,2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107993,2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122,8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122,8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122,8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122,8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763,6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52,6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52,6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52,6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52,6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7576,4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мест массового отдыха населения (городских парков)»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строительства администрации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1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Целевой показатель (индикатор) Подпрограммы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20"/>
                <w:szCs w:val="20"/>
              </w:rPr>
              <w:t xml:space="preserve">Количество обустройства мест массового отдыха населения (городских парков)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Обустройство мест массового отдыха населения (городского парка)»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строительства администрации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/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республиканский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 города Канаш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 рублей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left="0" w:right="0" w:firstLine="0"/>
        <w:jc w:val="both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</w:rPr>
        <w:sectPr>
          <w:footnotePr/>
          <w:endnotePr/>
          <w:type w:val="continuous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hd w:val="nil" w:color="0000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Годовой доклад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Основные результаты, достигнутые в отчетном году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Мероприяти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муниципальной программы в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году выполнены в полном объёме. Ф</w:t>
      </w:r>
      <w:r>
        <w:rPr>
          <w:rFonts w:ascii="Times New Roman" w:hAnsi="Times New Roman" w:cs="Times New Roman"/>
          <w:sz w:val="24"/>
          <w:szCs w:val="24"/>
        </w:rPr>
        <w:t xml:space="preserve">актические расходы за 2023</w:t>
      </w:r>
      <w:r>
        <w:rPr>
          <w:rFonts w:ascii="Times New Roman" w:hAnsi="Times New Roman" w:cs="Times New Roman"/>
          <w:sz w:val="24"/>
          <w:szCs w:val="24"/>
        </w:rPr>
        <w:t xml:space="preserve"> год, в рамках реализац</w:t>
      </w:r>
      <w:r>
        <w:rPr>
          <w:rFonts w:ascii="Times New Roman" w:hAnsi="Times New Roman" w:cs="Times New Roman"/>
          <w:sz w:val="24"/>
          <w:szCs w:val="24"/>
        </w:rPr>
        <w:t xml:space="preserve">ии Программы составили 112 731,4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при плане 147 896,8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из средств: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365,2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руб.;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рес</w:t>
      </w:r>
      <w:r>
        <w:rPr>
          <w:rFonts w:ascii="Times New Roman" w:hAnsi="Times New Roman" w:cs="Times New Roman"/>
          <w:sz w:val="24"/>
          <w:szCs w:val="24"/>
        </w:rPr>
        <w:t xml:space="preserve">публиканского бюджета – 52 820,5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бюдж</w:t>
      </w:r>
      <w:r>
        <w:rPr>
          <w:rFonts w:ascii="Times New Roman" w:hAnsi="Times New Roman" w:cs="Times New Roman"/>
          <w:sz w:val="24"/>
          <w:szCs w:val="24"/>
        </w:rPr>
        <w:t xml:space="preserve">ета города Канаш – 39 803,8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/>
    </w:p>
    <w:p>
      <w:pPr>
        <w:ind w:firstLine="708"/>
        <w:jc w:val="both"/>
        <w:keepNext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заинтересованных лиц – 2 741,9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contextualSpacing/>
        <w:ind w:firstLine="720"/>
        <w:jc w:val="both"/>
        <w:keepNext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Отклонение запланированных и фактических расходов на реализ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ацию Программы составило 35 165,4 тыс. руб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Причиной такого отклонения является оплата по факту выполненных работ, а также переходящий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остаток по благоустройству дворовых территорий для контрактации в 2024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Значения целевых индикаторов и показателей Прогр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аммы, установленные на 2023 год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достигнуты.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благоустроенных дворовых территорий в сравнении с п</w:t>
      </w:r>
      <w:r>
        <w:rPr>
          <w:rFonts w:ascii="Times New Roman" w:hAnsi="Times New Roman" w:cs="Times New Roman"/>
          <w:sz w:val="24"/>
          <w:szCs w:val="24"/>
        </w:rPr>
        <w:t xml:space="preserve">редыдущим годом увеличилось на 10</w:t>
      </w:r>
      <w:r>
        <w:rPr>
          <w:rFonts w:ascii="Times New Roman" w:hAnsi="Times New Roman" w:cs="Times New Roman"/>
          <w:sz w:val="24"/>
          <w:szCs w:val="24"/>
        </w:rPr>
        <w:t xml:space="preserve"> единиц или н</w:t>
      </w:r>
      <w:r>
        <w:rPr>
          <w:rFonts w:ascii="Times New Roman" w:hAnsi="Times New Roman" w:cs="Times New Roman"/>
          <w:sz w:val="24"/>
          <w:szCs w:val="24"/>
        </w:rPr>
        <w:t xml:space="preserve">а 5,8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дворовых территорий. Общая доля благоустрое</w:t>
      </w:r>
      <w:r>
        <w:rPr>
          <w:rFonts w:ascii="Times New Roman" w:hAnsi="Times New Roman" w:cs="Times New Roman"/>
          <w:sz w:val="24"/>
          <w:szCs w:val="24"/>
        </w:rPr>
        <w:t xml:space="preserve">нных дворовых территорий за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увеличилась и составила 26,1 </w:t>
      </w:r>
      <w:r>
        <w:rPr>
          <w:rFonts w:ascii="Times New Roman" w:hAnsi="Times New Roman" w:cs="Times New Roman"/>
          <w:sz w:val="24"/>
          <w:szCs w:val="24"/>
        </w:rPr>
        <w:t xml:space="preserve">% от общего количества дворовых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территорий. Количество благоустроенных общественных территорий в сравнении с предыдущим годом увеличилось на 1 единицу, как и в предыдущем году. Доля финансового участия заинтересованных лиц в выполнении мероприятий по благоустройству дворовых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дополнительному перечню видов работ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предыдущим годом </w:t>
      </w:r>
      <w:r>
        <w:rPr>
          <w:rFonts w:ascii="Times New Roman" w:hAnsi="Times New Roman" w:cs="Times New Roman"/>
          <w:sz w:val="24"/>
          <w:szCs w:val="24"/>
        </w:rPr>
        <w:t xml:space="preserve">не изменилась и составила 20 %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В Программу в течение 2023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года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изменения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вносились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два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раз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, а именно:</w:t>
      </w:r>
      <w:r>
        <w:rPr>
          <w:highlight w:val="none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 администрации города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Канаш Чувашской Республики от 15.02.2023 г. № 115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части: изменение наименование программы,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объемов финансирования мероприятий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дпрограммы 1, обоснование объемов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Программы и Подпрограммы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внесение изменений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объекты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благоустройства (дворовые территории) на территории города Канаш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, добавление нового индикатора в сведения о целевых индикаторах и показателях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и Подпрограммы 1,</w:t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*постановлением администрации города Канаш Чувашской Республики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от 25.10.2023 г. № 1139 в части: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объемов финансирования мероприятий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дпрограммы 1, обоснование объемов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финансовых ресурсов, необходимых для реализ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ации Программы и Подпрограммы 1,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внесение изменений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объекты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благоустройства (дворовые территории) на территории города Канаш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Перечень видов работ проектов благоустройства дворовых территорий без финансового участия заинтересованных лиц подразделяются на два приоритетных направления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первое - минимальный перечень видов работ по благоустройству, в который входят ремонт дворовых проездов, обеспечение освещения дворовых территорий, установка скамеек, урн;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второе - ремонт тротуаров вдоль дворовых проездов, благоустройство тротуаров, соединяющих дворовые территории с объектами социально-культурной сферы (школами, детскими садами, клубами, фельдшерско-акушерскими пунктами), и ремонт парковок.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Проекты благоустройства могут включать в себя и дополнительный перечень видов работ по благоустройству, к примеру, оборудование детских и (или) спортивных площадок, автомобильных парковок, озеленение территорий, иные виды работ. На такие виды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установлена доля финансового участия заинтересованных лиц в выполнении мероприятий, согласно дополнительному перечню видов работ по благоустройству дворовых территорий, в соотношении 20 процентов за счет средств заинтересованных лиц и 80 процентов за счет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средств бюджета города Канаш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Так,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министрацией города Канаш Чувашской Республики в Подпрограмме 1 был разработан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города Канаш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итогу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в городе Канаш были реализованы мероприятия по благоустройству дворовых и общественных территорий в рамках федерального проекта 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национального проекта «Жилье и городская среда».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Было благоустроено 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дворовых и придомовых территорий многоквартирных домов на общую сумму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45,09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млн. рублей по следующим адресам: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пр. Ленина, д. 26;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Разина, д. 12;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пр. Ленина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49, д. 45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Восточный, д. 16, д. 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30 лет Победы, д.103,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105,107,109 и ул. Энгельса, д.32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Разина, д. 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Свободы, д. 27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Машиностр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оителей, д. 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екрасова, д.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Колхозная, д. 32а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Данное направление будет реализовано и в последующие годы.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2024 запланировано благоустройство трех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дворовых территорий.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вышеуказанной программы, также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закуплено/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установлено детское игровое спортивное оборудование, при участии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софинансировании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заинтересованных лиц (граждан) 20 % и местного бюджета г. Канаш 80 %,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bCs/>
          <w:sz w:val="24"/>
          <w:szCs w:val="24"/>
        </w:rPr>
        <w:t xml:space="preserve"> дворовых территориях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общую сумму 0,49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млн. рублей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а именно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ул. Заводская д. 1.,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ул. 30 лет Победы, д. 103, 105, 107, 109 и ул. Энгельса, д. 32.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Закупка/ установка детских игровых и спортивных площадок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продолжена и в последующем. На 2024 год было подано 3 предложения от представителей многоквартирных домов.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 целях проведения голосования по отбору общественных территорий, подлежащих благоустройству в рамках реализации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рограммы, в электронной форме в информационно-телекоммуникационной сети "Интернет" Министерством строительства и жилищно-коммунального хозяйства Российской Федерации совместно с АНО "Диалог Регионы" в рамках </w:t>
      </w:r>
      <w:hyperlink r:id="rId16" w:tooltip="https://internet.garant.ru/#/document/72192514/entry/0" w:anchor="/document/72192514/entry/0" w:history="1">
        <w:r>
          <w:rPr>
            <w:rStyle w:val="861"/>
            <w:rFonts w:ascii="Times New Roman" w:hAnsi="Times New Roman" w:eastAsia="PT Serif" w:cs="Times New Roman"/>
            <w:color w:val="000000" w:themeColor="text1"/>
            <w:sz w:val="24"/>
            <w:szCs w:val="24"/>
            <w:u w:val="none"/>
          </w:rPr>
          <w:t xml:space="preserve">Федерального проекта</w:t>
        </w:r>
      </w:hyperlink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 "Формирование комфортной городской среды" национального проекта "Жилье и городская среда" и ведомственного проекта Минстроя России по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цифровизации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городского хозяйства "Умный город" создана единая федеральная платформа для онлайн голосования граждан по выбору общественных территорий, планируемых к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Задача платформы - собрать мнения как можно большего количества граждан, представляющих разные группы населения, чтобы учесть их при благоустройстве.</w:t>
      </w:r>
      <w:r/>
    </w:p>
    <w:p>
      <w:pPr>
        <w:contextualSpacing/>
        <w:ind w:firstLine="720"/>
        <w:jc w:val="both"/>
        <w:spacing w:before="225" w:after="225" w:line="283" w:lineRule="atLeast"/>
        <w:shd w:val="clear" w:color="ffffff" w:fill="ffffff"/>
        <w:rPr>
          <w:rFonts w:ascii="Times New Roman" w:hAnsi="Times New Roman" w:eastAsia="Roboto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В 2022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 году на общероссийской платформе прошло онлайн-голосование по отбору общественных территорий, п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одлежащих благоустройству в 2023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 году.</w:t>
      </w:r>
      <w:r>
        <w:rPr>
          <w:rFonts w:ascii="Times New Roman" w:hAnsi="Times New Roman" w:eastAsia="Roboto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На платформе </w:t>
      </w:r>
      <w:hyperlink r:id="rId17" w:tooltip="http://za.gorodsreda.ru/" w:history="1">
        <w:r>
          <w:rPr>
            <w:rStyle w:val="861"/>
            <w:rFonts w:ascii="Times New Roman" w:hAnsi="Times New Roman" w:eastAsia="Roboto" w:cs="Times New Roman"/>
            <w:color w:val="000000" w:themeColor="text1"/>
            <w:sz w:val="24"/>
            <w:highlight w:val="white"/>
            <w:u w:val="none"/>
          </w:rPr>
          <w:t xml:space="preserve">za.gorodsreda.ru</w:t>
        </w:r>
      </w:hyperlink>
      <w:r>
        <w:rPr>
          <w:rFonts w:ascii="Times New Roman" w:hAnsi="Times New Roman" w:eastAsia="Roboto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и на сайте «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Госуслуги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» каждый гражданин России в возрасте от 14 лет смог отдать свой голос за ту или иную территорию или дизайн-проект по благоустройству.</w:t>
      </w:r>
      <w:r>
        <w:rPr>
          <w:rFonts w:ascii="Roboto" w:hAnsi="Roboto" w:eastAsia="Roboto" w:cs="Roboto"/>
          <w:color w:val="000000" w:themeColor="text1"/>
          <w:sz w:val="24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</w:rPr>
        <w:t xml:space="preserve">Для голосования а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дминистрацией города Канаш Чувашской Республики были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отобраны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 три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общественные территории</w:t>
      </w:r>
      <w:r>
        <w:rPr>
          <w:rFonts w:ascii="Times New Roman" w:hAnsi="Times New Roman" w:eastAsia="Roboto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Благодаря участию граждан внешний облик общественных территорий может преобразиться, став местом притяжения жителей и гостей города.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итогам голосования на 2023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была выбрана и благоустроена 1 общественная территория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17,54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 за счет федерального бюджета 17,36 млн. рублей, а именно: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малого пруда в городе Канаш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вышеуказанного направления Подпрограммы 1 буде</w:t>
      </w:r>
      <w:r>
        <w:rPr>
          <w:rFonts w:ascii="Times New Roman" w:hAnsi="Times New Roman" w:cs="Times New Roman"/>
          <w:sz w:val="24"/>
          <w:szCs w:val="24"/>
        </w:rPr>
        <w:t xml:space="preserve">т продолжено в 2024 году, путем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благоустройства территории малого пруда во втором этапе.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качественной среды, в том числе уличных площадок для детей – главный приоритет федерального проекта «Формирование комфортной городской среды» нацпроекта «Жилье и городская среда».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Межквартальные детские игровые площадки являются многофункциональными зонами, которые предназначены для досуга детей разных возрастных групп.</w:t>
      </w:r>
      <w:r>
        <w:rPr>
          <w:rFonts w:ascii="Times New Roman" w:hAnsi="Times New Roman" w:cs="Times New Roman"/>
          <w:sz w:val="24"/>
          <w:szCs w:val="24"/>
        </w:rPr>
        <w:t xml:space="preserve"> В 2023</w:t>
      </w:r>
      <w:r>
        <w:rPr>
          <w:rFonts w:ascii="Times New Roman" w:hAnsi="Times New Roman" w:cs="Times New Roman"/>
          <w:sz w:val="24"/>
          <w:szCs w:val="24"/>
        </w:rPr>
        <w:t xml:space="preserve"> году в г. Канаш, была </w:t>
      </w:r>
      <w:r>
        <w:rPr>
          <w:rFonts w:ascii="Times New Roman" w:hAnsi="Times New Roman" w:cs="Times New Roman"/>
          <w:sz w:val="24"/>
          <w:szCs w:val="24"/>
        </w:rPr>
        <w:t xml:space="preserve">введена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межквартальная детская игровая площадка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земельном участке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площадью 800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</w:t>
      </w:r>
      <w:r>
        <w:rPr>
          <w:rFonts w:ascii="Times New Roman" w:hAnsi="Times New Roman" w:cs="Times New Roman"/>
          <w:bCs/>
          <w:sz w:val="24"/>
          <w:szCs w:val="24"/>
        </w:rPr>
        <w:t xml:space="preserve">.,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асположенный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напротив дома № 12 по ул. Репина, г. Канаш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Программу планируется продолжать реализовывать и в последующие годы.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2024 год выделен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земельный участок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площадью 952 кв. м.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новый межквартальный комплекс.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2023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год реализовано 5 проектов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развития общественной инфраструктуры, основанных на местных инициативах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стали победителями Респуб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ликанского конкурса на сумму 19,01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них: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объект по благоустройству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/>
    </w:p>
    <w:p>
      <w:pPr>
        <w:numPr>
          <w:ilvl w:val="0"/>
          <w:numId w:val="6"/>
        </w:num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Городского сквера Афганцев «Аллея героев» по ул. 30 лет Победы, 9а в г. Канаш,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по ремонту автомобильных дорог:</w:t>
      </w:r>
      <w:r/>
    </w:p>
    <w:p>
      <w:pPr>
        <w:numPr>
          <w:ilvl w:val="0"/>
          <w:numId w:val="6"/>
        </w:num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переулку от ул. Кутузова и ул. 8 Марта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(участок дороги от ул. Кутузова д. 27/1 до ул. Раздольная, от ул. Кутузова д. 19 до д. 27/1, от ул. Кутузова д. 27/1 до д. 46, по ул. 8 марта от д. 16 до д. 27);</w:t>
      </w:r>
      <w:r/>
    </w:p>
    <w:p>
      <w:pPr>
        <w:numPr>
          <w:ilvl w:val="0"/>
          <w:numId w:val="6"/>
        </w:num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Железнодорожная (участок дороги от д.1 до д. 9);</w:t>
      </w:r>
      <w:r/>
    </w:p>
    <w:p>
      <w:pPr>
        <w:numPr>
          <w:ilvl w:val="0"/>
          <w:numId w:val="6"/>
        </w:num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Железнодорожная (участок дороги от д. 1а до д. 1);</w:t>
      </w:r>
      <w:r/>
    </w:p>
    <w:p>
      <w:pPr>
        <w:numPr>
          <w:ilvl w:val="0"/>
          <w:numId w:val="6"/>
        </w:num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Энгельса (участок дороги от д. 13 до д. 29).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протяженность обновленного дорожного покрытия составила - 1,429 км. 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Вышеуказанные проекты направлены на решение именно тех проблем, которые жители самостоятельно определяют на собраниях.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Целями конкурсного отбора являются: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содействие в решении вопросов местного значения городского округа;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вовлечение населения в процессы местного самоуправления;</w:t>
      </w:r>
      <w:r/>
    </w:p>
    <w:p>
      <w:pPr>
        <w:contextualSpacing/>
        <w:ind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развитие механизмов инициативного бюджетирования;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повышение качества предоставления социальных услуг на местном уровне.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Так, на 2024 год планируется реализация ещё пяти инициативных проектов.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Помимо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этого,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2023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году город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Канаш стал победителем VIII Всероссийского конкурса лучших проектов создания комфортной городской среды в малых городах и исторических поселениях в категории «Малые города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с численностью населения от 20 000 до 50 000 человек включительно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» с проектом: 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*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«Благоустройство т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ерритории между двух вокзалов (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ж/д вокзалом и автовокзалом) 1 этап г. Канаш, Чувашская Республика».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Реализация проекта будет начата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2024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году и состоять из двух этапов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.</w:t>
      </w:r>
      <w:r/>
    </w:p>
    <w:p>
      <w:pPr>
        <w:contextualSpacing/>
        <w:ind w:firstLine="720"/>
        <w:jc w:val="both"/>
        <w:spacing w:before="225" w:after="225" w:line="283" w:lineRule="atLeast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Проект предполагает благоустройство территории от железнодорожного вокзала до автовокзала с разделением на зону ожидания (фотозона,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пергола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, стрит-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фуд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, зона торговли), зону гостеприимства (зоны отдыха, летняя терраса, парковка), ярмарочную площадь (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пергола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, ярмарка,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фудкорт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, парковка), музейную площадь (площадка для мероприятий и отдыха) и зеленый коридор (пешеходная связь между вокзалами с зонами отдыха).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Предложения по дальнейшей реализации муниципальной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программы (подпрограмм), основных мероприятий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Принимая во внимание, что основные мероприятия Программы выполнены, значения целевых показателей и индикаторов Программы в целом достигнуты, отдел строительства считает целесообразным продолжить реализацию Программы.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Заместитель главы –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начальник отдела строительства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(главный архитектор)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администрации города Канаш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  <w:t xml:space="preserve">                            Д.О.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Церфус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continuous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mbol">
    <w:panose1 w:val="05050102010706020507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56"/>
    <w:next w:val="656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6"/>
    <w:next w:val="656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6"/>
    <w:next w:val="656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6"/>
    <w:next w:val="656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6"/>
    <w:next w:val="65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  <w:pPr>
      <w:spacing w:after="0"/>
    </w:pPr>
  </w:style>
  <w:style w:type="paragraph" w:styleId="853">
    <w:name w:val="No Spacing"/>
    <w:basedOn w:val="656"/>
    <w:uiPriority w:val="1"/>
    <w:qFormat/>
    <w:pPr>
      <w:spacing w:after="0" w:line="240" w:lineRule="auto"/>
    </w:pPr>
  </w:style>
  <w:style w:type="paragraph" w:styleId="854">
    <w:name w:val="List Paragraph"/>
    <w:basedOn w:val="656"/>
    <w:uiPriority w:val="34"/>
    <w:qFormat/>
    <w:pPr>
      <w:contextualSpacing/>
      <w:ind w:left="720"/>
    </w:pPr>
  </w:style>
  <w:style w:type="paragraph" w:styleId="855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character" w:styleId="856">
    <w:name w:val="Strong"/>
    <w:basedOn w:val="666"/>
    <w:uiPriority w:val="22"/>
    <w:qFormat/>
    <w:rPr>
      <w:b/>
      <w:bCs/>
    </w:rPr>
  </w:style>
  <w:style w:type="character" w:styleId="857" w:customStyle="1">
    <w:name w:val="Цветовое выделение"/>
    <w:uiPriority w:val="99"/>
    <w:rPr>
      <w:b/>
      <w:bCs/>
      <w:color w:val="26282f"/>
    </w:rPr>
  </w:style>
  <w:style w:type="character" w:styleId="858" w:customStyle="1">
    <w:name w:val="Гипертекстовая ссылка"/>
    <w:basedOn w:val="857"/>
    <w:uiPriority w:val="99"/>
    <w:rPr>
      <w:b/>
      <w:bCs/>
      <w:color w:val="106bbe"/>
    </w:rPr>
  </w:style>
  <w:style w:type="paragraph" w:styleId="859" w:customStyle="1">
    <w:name w:val="Нормальный (таблица)"/>
    <w:basedOn w:val="656"/>
    <w:next w:val="656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60" w:customStyle="1">
    <w:name w:val="Прижатый влево"/>
    <w:basedOn w:val="656"/>
    <w:next w:val="656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61" w:customStyle="1">
    <w:name w:val="Гиперссылка1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://za.gorodsred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49</cp:revision>
  <dcterms:created xsi:type="dcterms:W3CDTF">2023-02-25T15:08:00Z</dcterms:created>
  <dcterms:modified xsi:type="dcterms:W3CDTF">2024-02-27T12:06:43Z</dcterms:modified>
</cp:coreProperties>
</file>