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5A" w:rsidRDefault="0076785A" w:rsidP="00B955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F605E" w:rsidTr="008F605E">
        <w:trPr>
          <w:trHeight w:val="715"/>
          <w:jc w:val="center"/>
        </w:trPr>
        <w:tc>
          <w:tcPr>
            <w:tcW w:w="4253" w:type="dxa"/>
          </w:tcPr>
          <w:p w:rsidR="008F605E" w:rsidRPr="00DD7E50" w:rsidRDefault="008F605E" w:rsidP="00955848">
            <w:pPr>
              <w:pStyle w:val="3"/>
            </w:pPr>
            <w:r>
              <w:tab/>
              <w:t xml:space="preserve"> </w:t>
            </w:r>
          </w:p>
        </w:tc>
        <w:tc>
          <w:tcPr>
            <w:tcW w:w="1984" w:type="dxa"/>
          </w:tcPr>
          <w:p w:rsidR="008F605E" w:rsidRPr="00DD7E50" w:rsidRDefault="008F605E" w:rsidP="00955848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121477" wp14:editId="46A8119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F605E" w:rsidRPr="00DD7E50" w:rsidRDefault="008F605E" w:rsidP="00955848">
            <w:pPr>
              <w:pStyle w:val="af0"/>
              <w:jc w:val="center"/>
            </w:pPr>
          </w:p>
        </w:tc>
      </w:tr>
      <w:tr w:rsidR="008F605E" w:rsidRPr="005B4111" w:rsidTr="008F605E">
        <w:trPr>
          <w:trHeight w:val="2118"/>
          <w:jc w:val="center"/>
        </w:trPr>
        <w:tc>
          <w:tcPr>
            <w:tcW w:w="4253" w:type="dxa"/>
          </w:tcPr>
          <w:p w:rsidR="008F605E" w:rsidRPr="00443F54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5E" w:rsidRPr="001E2403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F605E" w:rsidRPr="00DD7E50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5E" w:rsidRPr="00DD7E50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 № 167а</w:t>
            </w: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5E" w:rsidRPr="00DD7E50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F605E" w:rsidRPr="00FC5228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8F605E" w:rsidRPr="00443F54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8F605E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05E" w:rsidRPr="001E2403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F605E" w:rsidRPr="00DD7E50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5E" w:rsidRPr="00DD7E50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 № 167а</w:t>
            </w:r>
          </w:p>
          <w:p w:rsidR="008F605E" w:rsidRDefault="008F605E" w:rsidP="00955848">
            <w:pPr>
              <w:pStyle w:val="af0"/>
              <w:jc w:val="center"/>
            </w:pPr>
          </w:p>
          <w:p w:rsidR="008F605E" w:rsidRPr="006F2C01" w:rsidRDefault="008F605E" w:rsidP="0095584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F605E" w:rsidRDefault="008F605E" w:rsidP="00B9551D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F605E" w:rsidRPr="002C67AE" w:rsidRDefault="008F605E" w:rsidP="00B9551D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50E77" w:rsidRPr="00B9551D" w:rsidRDefault="00695BF9" w:rsidP="00852DFC">
      <w:pPr>
        <w:pStyle w:val="a5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="00852DFC" w:rsidRPr="00B9551D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Об утверждении Бюджетного прогноза Алатырского муниципального округа на период до 2035 года</w:t>
        </w:r>
      </w:hyperlink>
    </w:p>
    <w:p w:rsidR="00250E77" w:rsidRPr="00B9551D" w:rsidRDefault="00250E77" w:rsidP="00852DF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DFC" w:rsidRDefault="00852DFC" w:rsidP="00852DF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FC" w:rsidRDefault="00852DFC" w:rsidP="00852DF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DFC" w:rsidRDefault="00852DFC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В соответствии со </w:t>
      </w:r>
      <w:hyperlink r:id="rId10" w:history="1">
        <w:r w:rsidRPr="00852DFC">
          <w:rPr>
            <w:rFonts w:ascii="Times New Roman CYR" w:eastAsia="Times New Roman" w:hAnsi="Times New Roman CYR" w:cs="Times New Roman CYR"/>
            <w:sz w:val="26"/>
            <w:szCs w:val="26"/>
          </w:rPr>
          <w:t>статьей 170.1</w:t>
        </w:r>
      </w:hyperlink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852DFC">
          <w:rPr>
            <w:rFonts w:ascii="Times New Roman CYR" w:eastAsia="Times New Roman" w:hAnsi="Times New Roman CYR" w:cs="Times New Roman CYR"/>
            <w:sz w:val="26"/>
            <w:szCs w:val="26"/>
          </w:rPr>
          <w:t>статьей 5</w:t>
        </w:r>
      </w:hyperlink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 Федерального закона "О стратегическом планировании в Российской Федерации"</w:t>
      </w:r>
      <w:r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852DFC" w:rsidRPr="00852DFC" w:rsidRDefault="00852DFC" w:rsidP="006857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852DFC">
        <w:rPr>
          <w:rFonts w:ascii="Times New Roman CYR" w:eastAsia="Times New Roman" w:hAnsi="Times New Roman CYR" w:cs="Times New Roman CYR"/>
          <w:b/>
          <w:sz w:val="26"/>
          <w:szCs w:val="26"/>
        </w:rPr>
        <w:t>постановляет:</w:t>
      </w:r>
    </w:p>
    <w:p w:rsidR="00852DFC" w:rsidRPr="00852DFC" w:rsidRDefault="00852DFC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0" w:name="sub_1"/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1. Утвердить прилагаемый </w:t>
      </w:r>
      <w:hyperlink w:anchor="sub_1000" w:history="1">
        <w:r w:rsidRPr="00852DFC">
          <w:rPr>
            <w:rFonts w:ascii="Times New Roman CYR" w:eastAsia="Times New Roman" w:hAnsi="Times New Roman CYR" w:cs="Times New Roman CYR"/>
            <w:sz w:val="26"/>
            <w:szCs w:val="26"/>
          </w:rPr>
          <w:t>Бюджетный прогноз</w:t>
        </w:r>
      </w:hyperlink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</w:rPr>
        <w:t>Алатырского муниципального округа</w:t>
      </w:r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 на период до 2035 года.</w:t>
      </w:r>
    </w:p>
    <w:p w:rsidR="00250E77" w:rsidRDefault="00852DFC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2"/>
      <w:bookmarkEnd w:id="0"/>
      <w:r w:rsidRPr="00852DFC">
        <w:rPr>
          <w:rFonts w:ascii="Times New Roman CYR" w:eastAsia="Times New Roman" w:hAnsi="Times New Roman CYR" w:cs="Times New Roman CYR"/>
          <w:sz w:val="26"/>
          <w:szCs w:val="26"/>
        </w:rPr>
        <w:t xml:space="preserve">2. Настоящее постановление вступает в силу со дня его </w:t>
      </w:r>
      <w:hyperlink r:id="rId12" w:history="1">
        <w:r w:rsidRPr="00852DFC">
          <w:rPr>
            <w:rFonts w:ascii="Times New Roman CYR" w:eastAsia="Times New Roman" w:hAnsi="Times New Roman CYR" w:cs="Times New Roman CYR"/>
            <w:sz w:val="26"/>
            <w:szCs w:val="26"/>
          </w:rPr>
          <w:t>официального опубликования</w:t>
        </w:r>
      </w:hyperlink>
      <w:r w:rsidRPr="00852DFC">
        <w:rPr>
          <w:rFonts w:ascii="Times New Roman CYR" w:eastAsia="Times New Roman" w:hAnsi="Times New Roman CYR" w:cs="Times New Roman CYR"/>
          <w:sz w:val="24"/>
          <w:szCs w:val="24"/>
        </w:rPr>
        <w:t>.</w:t>
      </w:r>
      <w:bookmarkEnd w:id="1"/>
    </w:p>
    <w:p w:rsidR="00852DFC" w:rsidRDefault="00852DFC" w:rsidP="00852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52DFC" w:rsidRPr="002C67AE" w:rsidRDefault="00852DFC" w:rsidP="00EC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54" w:rsidRPr="00EC393B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93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EC393B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EC393B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93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EC393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67AE" w:rsidRPr="00EC393B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EC393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C393B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 w:rsidRPr="00EC393B">
        <w:rPr>
          <w:rFonts w:ascii="Times New Roman" w:hAnsi="Times New Roman" w:cs="Times New Roman"/>
          <w:sz w:val="26"/>
          <w:szCs w:val="26"/>
        </w:rPr>
        <w:t xml:space="preserve">     </w:t>
      </w:r>
      <w:r w:rsidRPr="00EC393B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EC393B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3E0" w:rsidRDefault="005C63E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3E0" w:rsidRDefault="005C63E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1D" w:rsidRDefault="00B9551D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28" w:rsidRDefault="00CF6D28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510" w:rsidRDefault="00C01510" w:rsidP="005C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2" w:name="sub_1000"/>
    </w:p>
    <w:p w:rsidR="005C63E0" w:rsidRPr="00F74A91" w:rsidRDefault="005C63E0" w:rsidP="005C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3" w:name="_GoBack"/>
      <w:bookmarkEnd w:id="3"/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lastRenderedPageBreak/>
        <w:t>Утвержден</w:t>
      </w:r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</w:r>
      <w:hyperlink w:anchor="sub_0" w:history="1">
        <w:r w:rsidRPr="00F74A9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F74A9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администрации Алатырского </w:t>
      </w:r>
    </w:p>
    <w:p w:rsidR="005C63E0" w:rsidRPr="00F74A91" w:rsidRDefault="005C63E0" w:rsidP="005C6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 xml:space="preserve">от </w:t>
      </w:r>
      <w:r w:rsidR="00576B16"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10</w:t>
      </w:r>
      <w:r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.02.2023 N </w:t>
      </w:r>
      <w:r w:rsidR="00576B16"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167</w:t>
      </w:r>
      <w:r w:rsidR="00B9551D" w:rsidRPr="00F74A91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а</w:t>
      </w:r>
    </w:p>
    <w:bookmarkEnd w:id="2"/>
    <w:p w:rsidR="00DE0F7B" w:rsidRDefault="00DE0F7B" w:rsidP="009A7AC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5C63E0" w:rsidRPr="005C63E0" w:rsidRDefault="005C63E0" w:rsidP="005C63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5C63E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Бюджетный прогноз</w:t>
      </w:r>
      <w:r w:rsidRPr="005C63E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r w:rsidR="00BB456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Алатырского муниципального округа</w:t>
      </w:r>
      <w:r w:rsidRPr="005C63E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на период до 2035 года</w:t>
      </w:r>
    </w:p>
    <w:p w:rsidR="005C63E0" w:rsidRPr="005C63E0" w:rsidRDefault="005C63E0" w:rsidP="005C63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5C63E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Введение</w:t>
      </w:r>
    </w:p>
    <w:p w:rsidR="005C63E0" w:rsidRPr="005C63E0" w:rsidRDefault="005C63E0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3E0" w:rsidRPr="005C63E0" w:rsidRDefault="00BB4569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101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Бюджетный прогноз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2035 года (далее - Бюджетный прогноз до 2035 года) разработан в соответствии с требованиями </w:t>
      </w:r>
      <w:hyperlink r:id="rId13" w:history="1">
        <w:r w:rsidR="005C63E0" w:rsidRPr="006473DC">
          <w:rPr>
            <w:rFonts w:ascii="Times New Roman" w:eastAsia="Times New Roman" w:hAnsi="Times New Roman" w:cs="Times New Roman"/>
            <w:sz w:val="24"/>
            <w:szCs w:val="24"/>
          </w:rPr>
          <w:t>статьи 170.1</w:t>
        </w:r>
      </w:hyperlink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14" w:history="1">
        <w:r w:rsidR="005C63E0" w:rsidRPr="006473DC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Алатырского муниципального округа Чувашской Республики 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> г. N </w:t>
      </w:r>
      <w:r w:rsidRPr="006473DC">
        <w:rPr>
          <w:rFonts w:ascii="Times New Roman" w:eastAsia="Times New Roman" w:hAnsi="Times New Roman" w:cs="Times New Roman"/>
          <w:sz w:val="24"/>
          <w:szCs w:val="24"/>
        </w:rPr>
        <w:t>42</w:t>
      </w:r>
      <w:r w:rsidR="005C63E0" w:rsidRPr="006473DC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Порядка разработки и утверждения бюджетного прогноза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 Чувашской Республики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 на долгосрочный период".</w:t>
      </w:r>
    </w:p>
    <w:bookmarkEnd w:id="4"/>
    <w:p w:rsidR="005C63E0" w:rsidRPr="005C63E0" w:rsidRDefault="00BB4569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экономической политики </w:t>
      </w:r>
      <w:r w:rsidR="00262B87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 остается обеспечение устойчивого экономического развития </w:t>
      </w:r>
      <w:r w:rsidR="00262B8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3E0" w:rsidRPr="005C63E0" w:rsidRDefault="00262B87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В условиях продолжающейся </w:t>
      </w:r>
      <w:proofErr w:type="spellStart"/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санкционной</w:t>
      </w:r>
      <w:proofErr w:type="spellEnd"/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 политики западных стран по отношению к России, оказывающей влияние на экономическую ситуацию как в Российской Федерации в целом, так и в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 xml:space="preserve"> Алатырском муниципальном округе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, актуальность долгосрочных ориентиров бюджетной политики, включая вариативность ее проведения в зависимости от реализации тех или иных сценариев развития, приобретает особое значение, помогая сформировать средне- и долгосрочные стратегии поведения.</w:t>
      </w:r>
    </w:p>
    <w:p w:rsidR="005C63E0" w:rsidRPr="005C63E0" w:rsidRDefault="00262B87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Долгосрочные оценки основных параметров бюджет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 бюджетной системы в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>Алатырском муниципальном округе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, а также основные подходы, методы и принципы реализации долгосрочной государственной политики в налоговой,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планирования.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целом.</w:t>
      </w:r>
    </w:p>
    <w:p w:rsidR="005C63E0" w:rsidRPr="005C63E0" w:rsidRDefault="00262B87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Долгосрочное бюджетное прогнозирование является естественным продолжением работы по повышению качества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управления в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>Алатырском муниципальном округе</w:t>
      </w:r>
      <w:r w:rsidR="006132B4" w:rsidRPr="005C6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в целом и внедрению программно-целевого метода управления общественными финансами в частности. Переход на формирование бюджета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на трехлетний период, разработка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 xml:space="preserve"> программ </w:t>
      </w:r>
      <w:r w:rsidR="006132B4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="005C63E0" w:rsidRPr="005C63E0">
        <w:rPr>
          <w:rFonts w:ascii="Times New Roman" w:eastAsia="Times New Roman" w:hAnsi="Times New Roman" w:cs="Times New Roman"/>
          <w:sz w:val="24"/>
          <w:szCs w:val="24"/>
        </w:rPr>
        <w:t>предполагали дальнейшее расширение горизонтов планирования. Тем самым была выстроена взаимоувязанная система документов стратегического бюджетного планирования, обеспечивающая сбалансированность мер, реализуемых в текущем, среднесрочном и долгосрочном периодах.</w:t>
      </w:r>
    </w:p>
    <w:p w:rsidR="005C63E0" w:rsidRDefault="005C63E0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ub_1001"/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Основные итоги исполнения консолидированного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год, условия формирования бюджетного прогноза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на период до 203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bookmarkEnd w:id="5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</w:t>
      </w:r>
      <w:hyperlink r:id="rId15" w:history="1">
        <w:r w:rsidRPr="00062DA8">
          <w:rPr>
            <w:rFonts w:ascii="Times New Roman" w:eastAsia="Times New Roman" w:hAnsi="Times New Roman" w:cs="Times New Roman"/>
            <w:bCs/>
            <w:sz w:val="24"/>
            <w:szCs w:val="24"/>
          </w:rPr>
          <w:t>Плана</w:t>
        </w:r>
      </w:hyperlink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("Дорожной карты") по увеличению собственных доходов, оптимизации бюджетных расходов, сокращению нерезультативных расходов за счет имеющихся резервов в </w:t>
      </w:r>
      <w:r w:rsidR="00977F16">
        <w:rPr>
          <w:rFonts w:ascii="Times New Roman" w:eastAsia="Times New Roman" w:hAnsi="Times New Roman" w:cs="Times New Roman"/>
          <w:sz w:val="24"/>
          <w:szCs w:val="24"/>
        </w:rPr>
        <w:t xml:space="preserve">Алатырском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>муниципальном округе проводится работа по реализации комплекса мер, направленных на увеличение собственных доходов, повышение качества бюджетного планирования и исполнения бюджета.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Консолидированный бюджет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района по доходам </w:t>
      </w:r>
      <w:r w:rsidR="00977F16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2022 год исполнен в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сумме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519 825,8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100,3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 к утвержденным годовым назначениям.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Налоговые и неналоговые доходы (собственные доходы) консолидированного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977F1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977F1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93598,3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105,9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 к утвержденным годовым назначениям.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</w:t>
      </w:r>
      <w:r w:rsidR="00977F1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2022 год составили в сумме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426 227,5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99,5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 к утвержденным годовым назначениям.</w:t>
      </w:r>
    </w:p>
    <w:p w:rsidR="00062DA8" w:rsidRPr="00CA4232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доходах консолидированного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района составляют безвозмездные поступления –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наибольший удельный вес составляют: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налог на доходы физических лиц – 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47,3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%, налоги на товары (работы, услуги), реализуемые на территории Российской Федерации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 xml:space="preserve"> (акцизы) – </w:t>
      </w:r>
      <w:r w:rsidR="00CA4232">
        <w:rPr>
          <w:rFonts w:ascii="Times New Roman" w:eastAsia="Times New Roman" w:hAnsi="Times New Roman" w:cs="Times New Roman"/>
          <w:sz w:val="24"/>
          <w:szCs w:val="24"/>
        </w:rPr>
        <w:t>13,5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  <w:r w:rsidR="00FA160B" w:rsidRPr="00062DA8">
        <w:rPr>
          <w:rFonts w:ascii="Times New Roman" w:eastAsia="Times New Roman" w:hAnsi="Times New Roman" w:cs="Times New Roman"/>
          <w:sz w:val="24"/>
          <w:szCs w:val="24"/>
        </w:rPr>
        <w:t xml:space="preserve">налоги на совокупный доход – </w:t>
      </w:r>
      <w:r w:rsidR="00FA160B">
        <w:rPr>
          <w:rFonts w:ascii="Times New Roman" w:eastAsia="Times New Roman" w:hAnsi="Times New Roman" w:cs="Times New Roman"/>
          <w:sz w:val="24"/>
          <w:szCs w:val="24"/>
        </w:rPr>
        <w:t>6,2</w:t>
      </w:r>
      <w:r w:rsidR="00FA160B" w:rsidRPr="00062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60B" w:rsidRPr="00CA4232">
        <w:rPr>
          <w:rFonts w:ascii="Times New Roman" w:eastAsia="Times New Roman" w:hAnsi="Times New Roman" w:cs="Times New Roman"/>
          <w:sz w:val="24"/>
          <w:szCs w:val="24"/>
        </w:rPr>
        <w:t>%,</w:t>
      </w:r>
      <w:r w:rsidRPr="00CA4232">
        <w:rPr>
          <w:rFonts w:ascii="Times New Roman" w:eastAsia="Times New Roman" w:hAnsi="Times New Roman" w:cs="Times New Roman"/>
          <w:sz w:val="24"/>
          <w:szCs w:val="24"/>
        </w:rPr>
        <w:t xml:space="preserve">налоги на имущество – </w:t>
      </w:r>
      <w:r w:rsidR="00CA4232" w:rsidRPr="00CA4232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CA4232">
        <w:rPr>
          <w:rFonts w:ascii="Times New Roman" w:eastAsia="Times New Roman" w:hAnsi="Times New Roman" w:cs="Times New Roman"/>
          <w:sz w:val="24"/>
          <w:szCs w:val="24"/>
        </w:rPr>
        <w:t xml:space="preserve"> %, доходы от использования имущества – </w:t>
      </w:r>
      <w:r w:rsidR="00CA4232" w:rsidRPr="00CA4232">
        <w:rPr>
          <w:rFonts w:ascii="Times New Roman" w:eastAsia="Times New Roman" w:hAnsi="Times New Roman" w:cs="Times New Roman"/>
          <w:sz w:val="24"/>
          <w:szCs w:val="24"/>
        </w:rPr>
        <w:t>10,5</w:t>
      </w:r>
      <w:r w:rsidRPr="00CA4232">
        <w:rPr>
          <w:rFonts w:ascii="Times New Roman" w:eastAsia="Times New Roman" w:hAnsi="Times New Roman" w:cs="Times New Roman"/>
          <w:sz w:val="24"/>
          <w:szCs w:val="24"/>
        </w:rPr>
        <w:t xml:space="preserve"> %, доходы от продажи материальных и нематериальных активов – </w:t>
      </w:r>
      <w:r w:rsidR="00CA4232" w:rsidRPr="00CA4232"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CA4232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062DA8" w:rsidRPr="00924B70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709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Консолидированный бюджет Алатырского района по расходам </w:t>
      </w:r>
      <w:r w:rsidR="00977F16" w:rsidRPr="000A370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0A3709">
        <w:rPr>
          <w:rFonts w:ascii="Times New Roman" w:eastAsia="Times New Roman" w:hAnsi="Times New Roman" w:cs="Times New Roman"/>
          <w:sz w:val="24"/>
          <w:szCs w:val="24"/>
        </w:rPr>
        <w:t xml:space="preserve">2022 год исполнен в </w:t>
      </w:r>
      <w:r w:rsidRPr="00924B70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 w:rsidR="00D430E5" w:rsidRPr="00924B70">
        <w:rPr>
          <w:rFonts w:ascii="Times New Roman" w:eastAsia="Times New Roman" w:hAnsi="Times New Roman" w:cs="Times New Roman"/>
          <w:sz w:val="24"/>
          <w:szCs w:val="24"/>
        </w:rPr>
        <w:t>519 825,8</w:t>
      </w:r>
      <w:r w:rsidRPr="00924B7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A3709" w:rsidRPr="00924B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30E5" w:rsidRPr="00924B70">
        <w:rPr>
          <w:rFonts w:ascii="Times New Roman" w:eastAsia="Times New Roman" w:hAnsi="Times New Roman" w:cs="Times New Roman"/>
          <w:sz w:val="24"/>
          <w:szCs w:val="24"/>
        </w:rPr>
        <w:t>100,3</w:t>
      </w:r>
      <w:r w:rsidRPr="00924B70">
        <w:rPr>
          <w:rFonts w:ascii="Times New Roman" w:eastAsia="Times New Roman" w:hAnsi="Times New Roman" w:cs="Times New Roman"/>
          <w:sz w:val="24"/>
          <w:szCs w:val="24"/>
        </w:rPr>
        <w:t xml:space="preserve"> % к уточненным годовым назначениям).</w:t>
      </w:r>
    </w:p>
    <w:p w:rsidR="00062DA8" w:rsidRPr="00924B70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70">
        <w:rPr>
          <w:rFonts w:ascii="Times New Roman" w:eastAsia="Times New Roman" w:hAnsi="Times New Roman" w:cs="Times New Roman"/>
          <w:sz w:val="24"/>
          <w:szCs w:val="24"/>
        </w:rPr>
        <w:t>Основную долю в структуре расходной части консолидированного бюджета Алатырского района составили расходы на</w:t>
      </w:r>
      <w:r w:rsidR="00D8431D" w:rsidRPr="00924B70">
        <w:rPr>
          <w:rFonts w:ascii="Times New Roman" w:eastAsia="Times New Roman" w:hAnsi="Times New Roman" w:cs="Times New Roman"/>
          <w:sz w:val="24"/>
          <w:szCs w:val="24"/>
        </w:rPr>
        <w:t xml:space="preserve"> социально-культурную сферу</w:t>
      </w:r>
      <w:r w:rsidR="00924B70" w:rsidRPr="00924B70">
        <w:rPr>
          <w:rFonts w:ascii="Times New Roman" w:eastAsia="Times New Roman" w:hAnsi="Times New Roman" w:cs="Times New Roman"/>
          <w:sz w:val="24"/>
          <w:szCs w:val="24"/>
        </w:rPr>
        <w:t xml:space="preserve"> – 51,0% от общего объема расходов или 252 787,0 тыс. рублей, из них расходы на</w:t>
      </w:r>
      <w:r w:rsidRPr="00924B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4B70" w:rsidRPr="00924B70" w:rsidRDefault="00924B70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70">
        <w:rPr>
          <w:rFonts w:ascii="Times New Roman" w:eastAsia="Times New Roman" w:hAnsi="Times New Roman" w:cs="Times New Roman"/>
          <w:sz w:val="24"/>
          <w:szCs w:val="24"/>
        </w:rPr>
        <w:t>- образование – 202 836,0 тыс. рублей или 40,9%;</w:t>
      </w:r>
    </w:p>
    <w:p w:rsidR="00924B70" w:rsidRPr="00924B70" w:rsidRDefault="00924B70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70">
        <w:rPr>
          <w:rFonts w:ascii="Times New Roman" w:eastAsia="Times New Roman" w:hAnsi="Times New Roman" w:cs="Times New Roman"/>
          <w:sz w:val="24"/>
          <w:szCs w:val="24"/>
        </w:rPr>
        <w:t>- культуру – 32 963,2 тыс. рублей или 6,7%;</w:t>
      </w:r>
    </w:p>
    <w:p w:rsidR="00924B70" w:rsidRPr="00924B70" w:rsidRDefault="00924B70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70">
        <w:rPr>
          <w:rFonts w:ascii="Times New Roman" w:eastAsia="Times New Roman" w:hAnsi="Times New Roman" w:cs="Times New Roman"/>
          <w:sz w:val="24"/>
          <w:szCs w:val="24"/>
        </w:rPr>
        <w:t>- социальную политику – 16 726,1 тыс. рублей или 3,4%.</w:t>
      </w:r>
    </w:p>
    <w:p w:rsidR="00062DA8" w:rsidRPr="00CA313C" w:rsidRDefault="00924B70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3C">
        <w:rPr>
          <w:rFonts w:ascii="Times New Roman" w:eastAsia="Times New Roman" w:hAnsi="Times New Roman" w:cs="Times New Roman"/>
          <w:sz w:val="24"/>
          <w:szCs w:val="24"/>
        </w:rPr>
        <w:t>Расходы по разделу «Н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>ациональн</w:t>
      </w:r>
      <w:r w:rsidRPr="00CA313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 xml:space="preserve"> экономик</w:t>
      </w:r>
      <w:r w:rsidRPr="00CA313C">
        <w:rPr>
          <w:rFonts w:ascii="Times New Roman" w:eastAsia="Times New Roman" w:hAnsi="Times New Roman" w:cs="Times New Roman"/>
          <w:sz w:val="24"/>
          <w:szCs w:val="24"/>
        </w:rPr>
        <w:t>а» составили 112 751,4 тыс. рублей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>или 22,7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>от общего объема расходов консолидированного бюджета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>;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 xml:space="preserve"> по разделу «Ж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>илищно-коммунальное хозяйство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>49 148,8 тыс. рублей или 9,9</w:t>
      </w:r>
      <w:r w:rsidR="00062DA8" w:rsidRPr="00CA313C">
        <w:rPr>
          <w:rFonts w:ascii="Times New Roman" w:eastAsia="Times New Roman" w:hAnsi="Times New Roman" w:cs="Times New Roman"/>
          <w:sz w:val="24"/>
          <w:szCs w:val="24"/>
        </w:rPr>
        <w:t>%</w:t>
      </w:r>
      <w:r w:rsidR="00CA313C" w:rsidRPr="00CA313C">
        <w:rPr>
          <w:rFonts w:ascii="Times New Roman" w:eastAsia="Times New Roman" w:hAnsi="Times New Roman" w:cs="Times New Roman"/>
          <w:sz w:val="24"/>
          <w:szCs w:val="24"/>
        </w:rPr>
        <w:t xml:space="preserve"> от общего объема расходов.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Консолидированный бюджет Алатырского района на 1 </w:t>
      </w:r>
      <w:r w:rsidR="0041232D" w:rsidRPr="00460B90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1232D" w:rsidRPr="00460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1232D" w:rsidRPr="00460B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 исполнен с профицитом в сумме </w:t>
      </w:r>
      <w:r w:rsidR="00460B90" w:rsidRPr="00460B90">
        <w:rPr>
          <w:rFonts w:ascii="Times New Roman" w:eastAsia="Times New Roman" w:hAnsi="Times New Roman" w:cs="Times New Roman"/>
          <w:sz w:val="24"/>
          <w:szCs w:val="24"/>
        </w:rPr>
        <w:t>24 205,2</w:t>
      </w: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при плановом дефиците </w:t>
      </w:r>
      <w:r w:rsidR="00460B90" w:rsidRPr="00460B90">
        <w:rPr>
          <w:rFonts w:ascii="Times New Roman" w:eastAsia="Times New Roman" w:hAnsi="Times New Roman" w:cs="Times New Roman"/>
          <w:sz w:val="24"/>
          <w:szCs w:val="24"/>
        </w:rPr>
        <w:t>12 879,5</w:t>
      </w:r>
      <w:r w:rsidRPr="00460B9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Цели и задачи Бюджетного прогноза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до 203</w:t>
      </w:r>
      <w:r w:rsidR="009D7E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Ключевой целью разработки Бюджетного прогноза до 203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является оценка основных тенденций развития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достижение стратегических целей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К задачам Бюджетного прогноза до 203</w:t>
      </w:r>
      <w:r w:rsidR="009D7E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года, способствующим достижению указанной цели, относятся: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разработка достоверных прогнозов основных характеристик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иных показателей, характеризующих состояние, основные риски и угрозы 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выработка решений по принятию дополнительных мер по совершенствованию налоговой,</w:t>
      </w:r>
      <w:r w:rsidR="00A9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бюджетной, долговой политики, включая повышение эффективности бюджетных расходов, способствующих достижению 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решению ключевых задач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долгосрочном периоде;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прозрачности и предсказуемости параметров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бюджетных рисков для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обеспечиваемая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 объемов долгосрочных финансовых обязательств, включая показатели финансового обеспечения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период их действия.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обеспечение взаимного соответствия и координации Бюджетного прогноза до 203</w:t>
      </w:r>
      <w:r w:rsidR="00EE77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с другими документами стратегического планирования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в первую очередь,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</w:t>
      </w:r>
      <w:r w:rsidRPr="00666BC4">
        <w:rPr>
          <w:rFonts w:ascii="Times New Roman" w:eastAsia="Times New Roman" w:hAnsi="Times New Roman" w:cs="Times New Roman"/>
          <w:sz w:val="24"/>
          <w:szCs w:val="24"/>
        </w:rPr>
        <w:t>период до 203</w:t>
      </w:r>
      <w:r w:rsidR="00666BC4" w:rsidRPr="00666B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6BC4">
        <w:rPr>
          <w:rFonts w:ascii="Times New Roman" w:eastAsia="Times New Roman" w:hAnsi="Times New Roman" w:cs="Times New Roman"/>
          <w:sz w:val="24"/>
          <w:szCs w:val="24"/>
        </w:rPr>
        <w:t xml:space="preserve"> года и муниципальными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программами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систематизация и регулярный учет основных бюджетных и макроэкономических рисков;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полноценное включение разработки и обеспечение учета бюджетного прогноза в рамках бюджетного процесса.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при реализации Бюджетного прогноза до 203</w:t>
      </w:r>
      <w:r w:rsidR="00EE77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необходимо обеспечить: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сохранение и развитие налогового потенциала, в том числе за счет улучшения качества налогового администрирования, сокращения "теневого" сектора экономики;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при неблагоприятной динамике бюджетных доходов;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регулярность анализа и оценки рисков для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использование полученных результатов в бюджетном планировании;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безопасного уровня дефицита и муниципального долга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4B046C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Прогноз основных характеристик бюджета Алатырского муниципального округа </w:t>
      </w:r>
      <w:r w:rsidRPr="004B04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Чувашской Республики</w:t>
      </w:r>
      <w:r w:rsidRPr="004B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период до 203</w:t>
      </w:r>
      <w:r w:rsidR="004B046C" w:rsidRPr="004B046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62DA8" w:rsidRPr="004B046C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62DA8" w:rsidRPr="004B046C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Основными принципами долгосрочной бюджетной политики являются надежность и достоверность оценок и прогнозов, в связи с чем в основу долгосрочного бюджетного прогноза закладывается базовый сценарий социально-экономического развития </w:t>
      </w:r>
      <w:r w:rsidRPr="004B046C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на </w:t>
      </w:r>
      <w:proofErr w:type="gramStart"/>
      <w:r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период </w:t>
      </w:r>
      <w:r w:rsidR="004B046C"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4B046C">
        <w:rPr>
          <w:rFonts w:ascii="Times New Roman CYR" w:eastAsia="Times New Roman" w:hAnsi="Times New Roman CYR" w:cs="Times New Roman CYR"/>
          <w:sz w:val="24"/>
          <w:szCs w:val="24"/>
        </w:rPr>
        <w:t>до</w:t>
      </w:r>
      <w:proofErr w:type="gramEnd"/>
      <w:r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 203</w:t>
      </w:r>
      <w:r w:rsidR="004B046C" w:rsidRPr="004B046C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4B046C">
        <w:rPr>
          <w:rFonts w:ascii="Times New Roman CYR" w:eastAsia="Times New Roman" w:hAnsi="Times New Roman CYR" w:cs="Times New Roman CYR"/>
          <w:sz w:val="24"/>
          <w:szCs w:val="24"/>
        </w:rPr>
        <w:t xml:space="preserve"> года.</w:t>
      </w:r>
    </w:p>
    <w:p w:rsidR="004B046C" w:rsidRPr="00666BC4" w:rsidRDefault="004B046C" w:rsidP="004B0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66BC4">
        <w:rPr>
          <w:rFonts w:ascii="Times New Roman CYR" w:eastAsia="Times New Roman" w:hAnsi="Times New Roman CYR" w:cs="Times New Roman CYR"/>
          <w:sz w:val="24"/>
          <w:szCs w:val="24"/>
        </w:rPr>
        <w:t xml:space="preserve">Бюджетный прогноз до 2035 года разработан на основании </w:t>
      </w:r>
      <w:hyperlink r:id="rId16" w:history="1">
        <w:r w:rsidRPr="00666BC4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прогноза</w:t>
        </w:r>
      </w:hyperlink>
      <w:r w:rsidRPr="00666BC4">
        <w:rPr>
          <w:rFonts w:ascii="Times New Roman CYR" w:eastAsia="Times New Roman" w:hAnsi="Times New Roman CYR" w:cs="Times New Roman CYR"/>
          <w:sz w:val="24"/>
          <w:szCs w:val="24"/>
        </w:rPr>
        <w:t xml:space="preserve"> долгосрочного социально-экономического развития </w:t>
      </w:r>
      <w:r w:rsidR="00666BC4" w:rsidRPr="00666BC4">
        <w:rPr>
          <w:rFonts w:ascii="Times New Roman CYR" w:eastAsia="Times New Roman" w:hAnsi="Times New Roman CYR" w:cs="Times New Roman CYR"/>
          <w:sz w:val="24"/>
          <w:szCs w:val="24"/>
        </w:rPr>
        <w:t>Алатырского муниципального округа</w:t>
      </w:r>
      <w:r w:rsidRPr="00666BC4">
        <w:rPr>
          <w:rFonts w:ascii="Times New Roman CYR" w:eastAsia="Times New Roman" w:hAnsi="Times New Roman CYR" w:cs="Times New Roman CYR"/>
          <w:sz w:val="24"/>
          <w:szCs w:val="24"/>
        </w:rPr>
        <w:t xml:space="preserve"> на период до 2035 года, предусматривающего два основных варианта развития экономики:</w:t>
      </w:r>
    </w:p>
    <w:p w:rsidR="004B046C" w:rsidRPr="00CB4B1F" w:rsidRDefault="004B046C" w:rsidP="004B0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B4B1F">
        <w:rPr>
          <w:rFonts w:ascii="Times New Roman CYR" w:eastAsia="Times New Roman" w:hAnsi="Times New Roman CYR" w:cs="Times New Roman CYR"/>
          <w:sz w:val="24"/>
          <w:szCs w:val="24"/>
        </w:rPr>
        <w:t>первый (консервативный) вариант,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спроса;</w:t>
      </w:r>
    </w:p>
    <w:p w:rsidR="004B046C" w:rsidRPr="00CB4B1F" w:rsidRDefault="004B046C" w:rsidP="004B0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B4B1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второй (базовый) вариант, который исходит из более благоприятного сочетания внешних и внутренних условий развития экономики и предполагает улучшение делового климата, наращивание инвестиций в основной капитал, реализацию перспективных инвестиционных проектов в ключевых секторах экономики, последовательное увеличение </w:t>
      </w:r>
      <w:proofErr w:type="spellStart"/>
      <w:r w:rsidRPr="00CB4B1F">
        <w:rPr>
          <w:rFonts w:ascii="Times New Roman CYR" w:eastAsia="Times New Roman" w:hAnsi="Times New Roman CYR" w:cs="Times New Roman CYR"/>
          <w:sz w:val="24"/>
          <w:szCs w:val="24"/>
        </w:rPr>
        <w:t>несырьевого</w:t>
      </w:r>
      <w:proofErr w:type="spellEnd"/>
      <w:r w:rsidRPr="00CB4B1F">
        <w:rPr>
          <w:rFonts w:ascii="Times New Roman CYR" w:eastAsia="Times New Roman" w:hAnsi="Times New Roman CYR" w:cs="Times New Roman CYR"/>
          <w:sz w:val="24"/>
          <w:szCs w:val="24"/>
        </w:rPr>
        <w:t xml:space="preserve"> экспорта.</w:t>
      </w:r>
    </w:p>
    <w:p w:rsidR="004B046C" w:rsidRPr="004B046C" w:rsidRDefault="004B046C" w:rsidP="004B0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B4B1F">
        <w:rPr>
          <w:rFonts w:ascii="Times New Roman CYR" w:eastAsia="Times New Roman" w:hAnsi="Times New Roman CYR" w:cs="Times New Roman CYR"/>
          <w:sz w:val="24"/>
          <w:szCs w:val="24"/>
        </w:rPr>
        <w:t xml:space="preserve">Основными принципами долгосрочной бюджетной политики являются надежность и достоверность оценок и прогнозов, в связи с чем в основу долгосрочного бюджетного прогноза закладывается базовый сценарий социально-экономического развития </w:t>
      </w:r>
      <w:r w:rsidR="00CB4B1F" w:rsidRPr="00CB4B1F">
        <w:rPr>
          <w:rFonts w:ascii="Times New Roman CYR" w:eastAsia="Times New Roman" w:hAnsi="Times New Roman CYR" w:cs="Times New Roman CYR"/>
          <w:sz w:val="24"/>
          <w:szCs w:val="24"/>
        </w:rPr>
        <w:t xml:space="preserve">Алатырского муниципального округа </w:t>
      </w:r>
      <w:r w:rsidRPr="00CB4B1F">
        <w:rPr>
          <w:rFonts w:ascii="Times New Roman CYR" w:eastAsia="Times New Roman" w:hAnsi="Times New Roman CYR" w:cs="Times New Roman CYR"/>
          <w:sz w:val="24"/>
          <w:szCs w:val="24"/>
        </w:rPr>
        <w:t>на период до 2035 года.</w:t>
      </w:r>
    </w:p>
    <w:p w:rsidR="00062DA8" w:rsidRPr="00D21BA3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21BA3">
        <w:rPr>
          <w:rFonts w:ascii="Times New Roman CYR" w:eastAsia="Times New Roman" w:hAnsi="Times New Roman CYR" w:cs="Times New Roman CYR"/>
          <w:sz w:val="24"/>
          <w:szCs w:val="24"/>
        </w:rPr>
        <w:t>В условиях сокращения численности населения в трудоспособном возрасте достижение ожидаемых темпов экономического роста и, как следствие, рост заработной платы в реальном выражении могут быть обеспечены только при условии повышения производительности труда, в том числе в социальной сфере, за счет создания новых высококвалифицированных рабочих мест и опережающего роста инновационного развития экономики, что в свою очередь предъявляет высокие требования к улучшению инвестиционного климата, обеспечению макроэкономической стабильности, снижению инфляции и процентных ставок по кредитам, качеству человеческого капитала, эффективности и прозрачности муниципального управления.</w:t>
      </w:r>
    </w:p>
    <w:p w:rsidR="00062DA8" w:rsidRPr="0046259C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59C">
        <w:rPr>
          <w:rFonts w:ascii="Times New Roman" w:eastAsia="Times New Roman" w:hAnsi="Times New Roman" w:cs="Times New Roman"/>
          <w:sz w:val="24"/>
          <w:szCs w:val="24"/>
        </w:rPr>
        <w:t>Прогноз основных характеристик бюджета Алатырского муниципального округа до 203</w:t>
      </w:r>
      <w:r w:rsidR="00D21BA3" w:rsidRPr="004625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259C">
        <w:rPr>
          <w:rFonts w:ascii="Times New Roman" w:eastAsia="Times New Roman" w:hAnsi="Times New Roman" w:cs="Times New Roman"/>
          <w:sz w:val="24"/>
          <w:szCs w:val="24"/>
        </w:rPr>
        <w:t xml:space="preserve"> года приведен в </w:t>
      </w:r>
      <w:hyperlink w:anchor="sub_1037" w:history="1">
        <w:r w:rsidRPr="004625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приложении 1</w:t>
        </w:r>
      </w:hyperlink>
      <w:r w:rsidRPr="0046259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Бюджетному прогнозу до 203</w:t>
      </w:r>
      <w:r w:rsidR="00D21BA3" w:rsidRPr="004625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259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62DA8" w:rsidRPr="000E7C6C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62DA8" w:rsidRPr="00D21BA3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ub_1031"/>
      <w:r w:rsidRPr="00D21BA3">
        <w:rPr>
          <w:rFonts w:ascii="Times New Roman" w:eastAsia="Times New Roman" w:hAnsi="Times New Roman" w:cs="Times New Roman"/>
          <w:b/>
          <w:bCs/>
          <w:sz w:val="24"/>
          <w:szCs w:val="24"/>
        </w:rPr>
        <w:t>3.1. Основные подходы к формированию доходов бюджета Алатырского муниципального округа на период до 2</w:t>
      </w:r>
      <w:r w:rsidR="00D21BA3" w:rsidRPr="00D21BA3">
        <w:rPr>
          <w:rFonts w:ascii="Times New Roman" w:eastAsia="Times New Roman" w:hAnsi="Times New Roman" w:cs="Times New Roman"/>
          <w:b/>
          <w:bCs/>
          <w:sz w:val="24"/>
          <w:szCs w:val="24"/>
        </w:rPr>
        <w:t>035</w:t>
      </w:r>
      <w:r w:rsidRPr="00D21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62DA8" w:rsidRPr="000E7C6C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</w:rPr>
      </w:pPr>
    </w:p>
    <w:p w:rsidR="00062DA8" w:rsidRPr="00D21BA3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21BA3">
        <w:rPr>
          <w:rFonts w:ascii="Times New Roman CYR" w:eastAsia="Times New Roman" w:hAnsi="Times New Roman CYR" w:cs="Times New Roman CYR"/>
          <w:sz w:val="24"/>
          <w:szCs w:val="24"/>
        </w:rPr>
        <w:t xml:space="preserve">Налоговая политика будет выстраиваться с учетом реализации изменений федерального законодательства, законодательства Чувашской Республики, муниципальных правовых актов </w:t>
      </w:r>
      <w:r w:rsidRPr="00D21BA3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 Чувашской Республики</w:t>
      </w:r>
      <w:r w:rsidRPr="00D21BA3">
        <w:rPr>
          <w:rFonts w:ascii="Times New Roman CYR" w:eastAsia="Times New Roman" w:hAnsi="Times New Roman CYR" w:cs="Times New Roman CYR"/>
          <w:sz w:val="24"/>
          <w:szCs w:val="24"/>
        </w:rPr>
        <w:t>, с учетом обеспечения преемственности целей и задач налоговой политики предыдущего периода.</w:t>
      </w:r>
    </w:p>
    <w:bookmarkEnd w:id="6"/>
    <w:p w:rsidR="00062DA8" w:rsidRPr="00D21BA3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A3">
        <w:rPr>
          <w:rFonts w:ascii="Times New Roman" w:eastAsia="Times New Roman" w:hAnsi="Times New Roman" w:cs="Times New Roman"/>
          <w:sz w:val="24"/>
          <w:szCs w:val="24"/>
        </w:rPr>
        <w:t>На долгосрочную перспективу налоговая политика Алатырского муниципального округа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бюджет Алатырского муниципального округа.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Основными критериями эффективности налоговой политики являются возможность финансового обеспечения расходных обязательств публично-правовых образований при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уклоняющимися от уплаты налогов и сборов.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Формирование доходов бюджета Алатырского муниципального округа на период до 203</w:t>
      </w:r>
      <w:r w:rsidR="00302F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2F95">
        <w:rPr>
          <w:rFonts w:ascii="Times New Roman" w:eastAsia="Times New Roman" w:hAnsi="Times New Roman" w:cs="Times New Roman"/>
          <w:sz w:val="24"/>
          <w:szCs w:val="24"/>
        </w:rPr>
        <w:t xml:space="preserve"> года осуществлено с учетом следующих подходов: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упорядочивание системы налоговых льгот, повышение их адресности;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повышение налоговой нагрузки на имущество, в том числе за счет определения налоговой базы объектов недвижимого имущества исходя из кадастровой стоимости;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hyperlink r:id="rId17" w:history="1">
        <w:r w:rsidRPr="00302F95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муниципальных</w:t>
        </w:r>
      </w:hyperlink>
      <w:r w:rsidRPr="00302F9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нормативных актов</w:t>
      </w:r>
      <w:r w:rsidRPr="00302F95">
        <w:rPr>
          <w:rFonts w:ascii="Times New Roman" w:eastAsia="Times New Roman" w:hAnsi="Times New Roman" w:cs="Times New Roman"/>
          <w:sz w:val="24"/>
          <w:szCs w:val="24"/>
        </w:rPr>
        <w:t xml:space="preserve"> о налогах и сборах в целях недопущения снижения доходов бюджета;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сокращение возможностей уклонения от уплаты налогов и сборов, формирование максимально благоприятных условий для добросовестных налогоплательщиков;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муниципального имущества.</w:t>
      </w:r>
    </w:p>
    <w:p w:rsidR="00062DA8" w:rsidRPr="00302F95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95">
        <w:rPr>
          <w:rFonts w:ascii="Times New Roman" w:eastAsia="Times New Roman" w:hAnsi="Times New Roman" w:cs="Times New Roman"/>
          <w:sz w:val="24"/>
          <w:szCs w:val="24"/>
        </w:rPr>
        <w:t>В целом в период до 203</w:t>
      </w:r>
      <w:r w:rsidR="00302F95" w:rsidRPr="00302F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2F95">
        <w:rPr>
          <w:rFonts w:ascii="Times New Roman" w:eastAsia="Times New Roman" w:hAnsi="Times New Roman" w:cs="Times New Roman"/>
          <w:sz w:val="24"/>
          <w:szCs w:val="24"/>
        </w:rPr>
        <w:t xml:space="preserve"> года основными источниками доходов бюджета Алатырского муниципального округа будут оставаться налоговые доходы и доходы от аренды и продажи имущества.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2F95">
        <w:rPr>
          <w:rFonts w:ascii="Times New Roman CYR" w:eastAsia="Times New Roman" w:hAnsi="Times New Roman CYR" w:cs="Times New Roman CYR"/>
          <w:sz w:val="24"/>
          <w:szCs w:val="24"/>
        </w:rPr>
        <w:t xml:space="preserve">Структура собственных доходов бюджета </w:t>
      </w:r>
      <w:r w:rsidRPr="00302F95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302F95">
        <w:rPr>
          <w:rFonts w:ascii="Times New Roman CYR" w:eastAsia="Times New Roman" w:hAnsi="Times New Roman CYR" w:cs="Times New Roman CYR"/>
          <w:sz w:val="24"/>
          <w:szCs w:val="24"/>
        </w:rPr>
        <w:t>на период до 203</w:t>
      </w:r>
      <w:r w:rsidR="00302F95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302F95">
        <w:rPr>
          <w:rFonts w:ascii="Times New Roman CYR" w:eastAsia="Times New Roman" w:hAnsi="Times New Roman CYR" w:cs="Times New Roman CYR"/>
          <w:sz w:val="24"/>
          <w:szCs w:val="24"/>
        </w:rPr>
        <w:t xml:space="preserve"> года представлена в таблице 1.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02"/>
      <w:r w:rsidRPr="00062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Таблица 1</w:t>
      </w:r>
    </w:p>
    <w:bookmarkEnd w:id="7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062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Структура</w:t>
      </w:r>
      <w:r w:rsidRPr="00062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собственных доходов бюджета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муниципального округа 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62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на период до 203</w:t>
      </w:r>
      <w:r w:rsidR="00302F9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5</w:t>
      </w:r>
      <w:r w:rsidRPr="00062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года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404"/>
        <w:gridCol w:w="1559"/>
        <w:gridCol w:w="1276"/>
        <w:gridCol w:w="1417"/>
        <w:gridCol w:w="1418"/>
        <w:gridCol w:w="1417"/>
      </w:tblGrid>
      <w:tr w:rsidR="00062DA8" w:rsidRPr="00062DA8" w:rsidTr="008A09EF"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062DA8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062DA8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Вариант развития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8" w:rsidRPr="00062DA8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8" w:rsidRPr="00062DA8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8" w:rsidRPr="00062DA8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8" w:rsidRPr="00062DA8" w:rsidRDefault="00062DA8" w:rsidP="007C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8" w:rsidRPr="00062DA8" w:rsidRDefault="00062DA8" w:rsidP="007C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62D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</w:t>
            </w:r>
            <w:r w:rsid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Собственные доходы - всего, тыс. рублей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A16C3D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C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A16C3D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C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92 360,7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A16C3D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C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97 754,3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A16C3D" w:rsidP="0066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118</w:t>
            </w:r>
            <w:r w:rsidR="00666BC4"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653,7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A16C3D" w:rsidP="0066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144</w:t>
            </w:r>
            <w:r w:rsidR="00666BC4"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314,3</w:t>
            </w:r>
          </w:p>
        </w:tc>
      </w:tr>
      <w:tr w:rsidR="00062DA8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A16C3D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A16C3D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92 360,7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97 754,3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124 762,0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159 231,5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лиц, тыс. рублей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51 874,3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55 273,2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59 862,1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6D05FD" w:rsidP="008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810880"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2 133,8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810880" w:rsidP="008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87 354,4</w:t>
            </w:r>
          </w:p>
        </w:tc>
      </w:tr>
      <w:tr w:rsidR="008A09EF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EF" w:rsidRPr="007C008B" w:rsidRDefault="008A09EF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EF" w:rsidRPr="007C008B" w:rsidRDefault="008A09EF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EF" w:rsidRPr="00A16C3D" w:rsidRDefault="008A09EF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51 874,3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EF" w:rsidRPr="00A16C3D" w:rsidRDefault="008A09EF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55 273,2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EF" w:rsidRPr="00A16C3D" w:rsidRDefault="008A09EF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59 862,1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EF" w:rsidRPr="00381EEA" w:rsidRDefault="00810880" w:rsidP="008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75 007,2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EF" w:rsidRPr="00381EEA" w:rsidRDefault="00810880" w:rsidP="008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94 659,1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B2CB3" w:rsidP="0038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</w:t>
            </w:r>
            <w:r w:rsidR="00381EEA"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B2CB3" w:rsidP="0038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</w:t>
            </w:r>
            <w:r w:rsidR="00381EEA"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</w:tr>
      <w:tr w:rsidR="00062DA8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8A09E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B2CB3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B2CB3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59,4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акцизы, тыс. рублей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217DA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217DA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217DA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11 721,3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CD3014" w:rsidP="00F9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14 124,2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CD301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17 104,4</w:t>
            </w:r>
          </w:p>
        </w:tc>
      </w:tr>
      <w:tr w:rsidR="00217DA4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4" w:rsidRPr="007C008B" w:rsidRDefault="00217DA4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4" w:rsidRPr="007C008B" w:rsidRDefault="00217DA4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DA4" w:rsidRPr="00A16C3D" w:rsidRDefault="00217DA4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DA4" w:rsidRPr="00A16C3D" w:rsidRDefault="00217DA4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DA4" w:rsidRPr="00A16C3D" w:rsidRDefault="00217DA4" w:rsidP="0021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11 721,3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DA4" w:rsidRPr="00381EEA" w:rsidRDefault="00CD301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14 686,8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DA4" w:rsidRPr="00381EEA" w:rsidRDefault="00CD3014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18 740,4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11,8</w:t>
            </w:r>
          </w:p>
        </w:tc>
      </w:tr>
      <w:tr w:rsidR="00062DA8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1E2CCC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11,7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налоги на совокупный доход, тыс. рублей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5 009,2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6 066,1</w:t>
            </w:r>
          </w:p>
        </w:tc>
      </w:tr>
      <w:tr w:rsidR="000376BE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6 573,4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4,2</w:t>
            </w:r>
          </w:p>
        </w:tc>
      </w:tr>
      <w:tr w:rsidR="000376BE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4,1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налоги на имущество, тыс. рублей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5 361,4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6 392,0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7 740,7</w:t>
            </w:r>
          </w:p>
        </w:tc>
      </w:tr>
      <w:tr w:rsidR="000376BE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5 361,4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5 304,6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6 646,7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8 388,1</w:t>
            </w:r>
          </w:p>
        </w:tc>
      </w:tr>
      <w:tr w:rsidR="00062DA8" w:rsidRPr="00062DA8" w:rsidTr="008A09EF">
        <w:tc>
          <w:tcPr>
            <w:tcW w:w="1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в общем объеме собственных доходов, 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8" w:rsidRPr="007C008B" w:rsidRDefault="00062DA8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консервативный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A16C3D" w:rsidRDefault="000376BE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DA8" w:rsidRPr="00381EEA" w:rsidRDefault="00521810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5,3</w:t>
            </w:r>
          </w:p>
        </w:tc>
      </w:tr>
      <w:tr w:rsidR="000376BE" w:rsidRPr="00062DA8" w:rsidTr="008A09EF">
        <w:tc>
          <w:tcPr>
            <w:tcW w:w="1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062DA8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E" w:rsidRPr="007C008B" w:rsidRDefault="000376BE" w:rsidP="0006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008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A16C3D" w:rsidRDefault="000376BE" w:rsidP="0051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1411F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6BE" w:rsidRPr="00381EEA" w:rsidRDefault="00521810" w:rsidP="00A1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81EE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5,3</w:t>
            </w:r>
          </w:p>
        </w:tc>
      </w:tr>
    </w:tbl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C4" w:rsidRDefault="00666BC4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sub_1032"/>
    </w:p>
    <w:p w:rsidR="00666BC4" w:rsidRDefault="00666BC4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6BC4" w:rsidRDefault="00666BC4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96A" w:rsidRDefault="0077796A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3.2. Основные подходы к формированию расходов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на период до 203</w:t>
      </w:r>
      <w:r w:rsidR="0094469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bookmarkEnd w:id="8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Прогноз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на период до 203</w:t>
      </w:r>
      <w:r w:rsidR="009446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расходными обязательствами, отнесенными </w:t>
      </w:r>
      <w:hyperlink r:id="rId18" w:history="1">
        <w:r w:rsidRPr="00062DA8">
          <w:rPr>
            <w:rFonts w:ascii="Times New Roman" w:eastAsia="Times New Roman" w:hAnsi="Times New Roman" w:cs="Times New Roman"/>
            <w:bCs/>
            <w:sz w:val="24"/>
            <w:szCs w:val="24"/>
          </w:rPr>
          <w:t>Конституцией</w:t>
        </w:r>
      </w:hyperlink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Чувашской Республики, муниципальными правовыми актами к полномочиям органов местного самоуправления и предполагает относительную стабильность структуры расходов в долгосрочной перспективе.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Обеспечение расходных обязательств источниками финансирования является необходимым условием реализации муниципальной политики. Прогноз расходов направлен на исполнение действующих расходных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период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спрогнозирован с учетом ограничений, установленных </w:t>
      </w:r>
      <w:hyperlink r:id="rId19" w:history="1">
        <w:r w:rsidRPr="00062DA8">
          <w:rPr>
            <w:rFonts w:ascii="Times New Roman" w:eastAsia="Times New Roman" w:hAnsi="Times New Roman" w:cs="Times New Roman"/>
            <w:bCs/>
            <w:sz w:val="24"/>
            <w:szCs w:val="24"/>
          </w:rPr>
          <w:t>Бюджетным кодексом</w:t>
        </w:r>
      </w:hyperlink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В долгосрочном периоде будет продолжена работа по повышению эффективности оказания муниципальных услуг, в рамках которой необходимо обеспечить создание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сокращение доли неэффективных бюджетных расходов.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Будет продолжен мониторинг деятельности муниципальных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 целью проверки эффективности использования ими финансовых ресурсов, выполнения установленных муниципальных заданий, эффективности использования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Исполнение публичных нормативных обязательств будет обеспечиваться в полном объеме.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Оценка расходов на реализацию муниципальных программ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r w:rsidRPr="00062DA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Чувашской Республики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период до 203</w:t>
      </w:r>
      <w:r w:rsidR="00C150D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Интеграция стратегического и бюджетного планирования в 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осуществляется в рамках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Разработан перечень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 Он </w:t>
      </w:r>
      <w:r w:rsidRPr="00666BC4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="00666BC4" w:rsidRPr="00666B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66B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062DA8">
        <w:rPr>
          <w:rFonts w:ascii="Times New Roman" w:eastAsia="Times New Roman" w:hAnsi="Times New Roman" w:cs="Times New Roman"/>
          <w:sz w:val="24"/>
          <w:szCs w:val="24"/>
        </w:rPr>
        <w:t>округа ,</w:t>
      </w:r>
      <w:proofErr w:type="gramEnd"/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охватывающи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различные сферы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Бюджетным прогнозом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устанавливаются предельные объемы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реализацию каждой из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года. Это позволит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главным распорядителям бюджетных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- ответственным исполнителям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определить цели и ожидаемые результаты муниципальных программ, индикаторы их достижения, обеспечивающие реализацию долгосрочных приоритетов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сформировать систему мероприятий, установить сроки и содержание этапов их реализации.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Показатели финансового обеспечения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 представлены </w:t>
      </w:r>
      <w:r w:rsidRPr="006E2B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sub_1037" w:history="1">
        <w:r w:rsidRPr="006E2B3F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приложении 2</w:t>
        </w:r>
      </w:hyperlink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Бюджетному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прогнозу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сами предельные объемы расходов, вне зависимости от статуса утвердившего их документа, не предопределяют объем и структуру 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подлежащих финансированию из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 Это индикативная оценка объема расходов, который, в случае подтверждения долгосрочного экономического и бюджетного прогноза, может быть включен в состав ассигнований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соответствующей муниципальной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очередной финансовый год и на плановый период.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то же время, несмотря на индикативный характер, данные показатели позволяют определить среднесрочные приоритеты в распределении бюджетных расходов, сформировать полноценные, финансово обеспеченные муниципальные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создать стимулы, прежде всего для их ответственных исполнителей, для выявления и использования резервов в целях перераспределения расходов и, следовательно, повышения эффективности использования бюджетных средств.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случае разработки и принятия новых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ассигнований, предусмотренных по другим муниципальным программам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непрограммных направлений деятельности в долгосрочном периоде не предусматривается.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и минимизация бюджетных рисков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оценки и создания условий для минимизации рисков несбалансированности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является одной из ключевых задач Бюджетного прогноза до 203</w:t>
      </w:r>
      <w:r w:rsidR="00C150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случае краткосрочного (до трех лет) замедления темпов роста собственных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целях обеспечения исполнения принятых расходных обязательств, завершения реализации приоритетных инвестиционных проектов будет рассматриваться вопрос об увеличении размера муниципального долга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с учетом его последующего сокращения при восстановлении темпов роста собственных доходов.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Долгосрочные бюджетные риски, действие которых будет выходить за пределы планового периода (более трех лет) потребуют введения дополнительных ограничений при формировании бюджета будущих периодов.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К числу основных внутренних рисков можно отнести следующие виды рисков.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51"/>
      <w:r w:rsidRPr="00062DA8">
        <w:rPr>
          <w:rFonts w:ascii="Times New Roman" w:eastAsia="Times New Roman" w:hAnsi="Times New Roman" w:cs="Times New Roman"/>
          <w:sz w:val="24"/>
          <w:szCs w:val="24"/>
        </w:rPr>
        <w:t>1. Демографические риски.</w:t>
      </w:r>
    </w:p>
    <w:bookmarkEnd w:id="9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возраста, фактически осуществляющих трудовую деятельность, но не уплачивающих налоги и взносы.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52"/>
      <w:r w:rsidRPr="00062DA8">
        <w:rPr>
          <w:rFonts w:ascii="Times New Roman" w:eastAsia="Times New Roman" w:hAnsi="Times New Roman" w:cs="Times New Roman"/>
          <w:sz w:val="24"/>
          <w:szCs w:val="24"/>
        </w:rPr>
        <w:t>2. Снижение конкурентоспособности экономики и производительности труда.</w:t>
      </w:r>
    </w:p>
    <w:bookmarkEnd w:id="10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Влияние данного фактора носит системный характер. Его результатом является сокращение инвестиций, снижение рентабельности соответствующих видов экономической деятельности и в конечном счете дальнейшее замедление темпов экономического роста.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Минимизация указанных рисков возможна за счет реализации системных мер, направленных на развитие производства, повышение производительности труда. В качестве основных мер в долгосрочном периоде сохранятся налоговые льготы, субсидирование затрат производителей.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53"/>
      <w:r w:rsidRPr="00062DA8">
        <w:rPr>
          <w:rFonts w:ascii="Times New Roman" w:eastAsia="Times New Roman" w:hAnsi="Times New Roman" w:cs="Times New Roman"/>
          <w:sz w:val="24"/>
          <w:szCs w:val="24"/>
        </w:rPr>
        <w:t>3. Сокращение (отсутствие интенсивного роста) инвестиций в основной капитал.</w:t>
      </w:r>
    </w:p>
    <w:bookmarkEnd w:id="11"/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среднесрочной перспективе инвестиции остаются практически единственным источником для стимулирования экономического роста, поскольку потенциал стимулирования 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внутреннего спроса и роста экспорта в настоящее время ограничен.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Дефицит инвестиций в основной капитал сдерживает темп экономического роста, а также формирует условия для консервации и усугубления отставания промышленного производства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сравнению с другими муниципальными образованиями.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>Основными мерами, направленными на минимизацию указанных рисков, будут являться реализация проектов, направленных на развитие инфраструктуры.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В случае длительности негативных влияний в мировой экономике следует ожидать дополнительных эффектов, отрицательно влияющих на сбалансированность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включая сокращение доступности кредитных ресурсов, отток инвестиций, увеличение инфляционных рисков.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мерами, направленными на минимизацию риска несбалансированности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будут являться оптимизация расходов и мораторий на принятие новых расходных обязательств.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Указанные риски характерны не только для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но и в целом для Чувашской Республики и Российской Федерации.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Требуется постоянная оценка 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целях приведения их в соответствие со складывающимися бюджетными возможностями.</w:t>
      </w:r>
    </w:p>
    <w:p w:rsidR="00062DA8" w:rsidRPr="00062DA8" w:rsidRDefault="00062DA8" w:rsidP="00062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мер, направленных на минимизацию перечисленных рисков, позволит обеспечить ускорение темпов роста экономики и, соответственно, рост доходного потенциала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r w:rsidRPr="00062D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E07B0B" w:rsidRDefault="00E07B0B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B0B" w:rsidRDefault="00E07B0B" w:rsidP="005C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B0B" w:rsidRDefault="00026FE5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71B1" w:rsidSect="00A424FC">
          <w:headerReference w:type="even" r:id="rId20"/>
          <w:headerReference w:type="default" r:id="rId21"/>
          <w:pgSz w:w="11906" w:h="16838"/>
          <w:pgMar w:top="567" w:right="707" w:bottom="567" w:left="1276" w:header="709" w:footer="709" w:gutter="0"/>
          <w:cols w:space="708"/>
          <w:titlePg/>
          <w:docGrid w:linePitch="360"/>
        </w:sectPr>
      </w:pPr>
    </w:p>
    <w:tbl>
      <w:tblPr>
        <w:tblW w:w="16021" w:type="dxa"/>
        <w:tblInd w:w="93" w:type="dxa"/>
        <w:tblLook w:val="04A0" w:firstRow="1" w:lastRow="0" w:firstColumn="1" w:lastColumn="0" w:noHBand="0" w:noVBand="1"/>
      </w:tblPr>
      <w:tblGrid>
        <w:gridCol w:w="2567"/>
        <w:gridCol w:w="793"/>
        <w:gridCol w:w="341"/>
        <w:gridCol w:w="779"/>
        <w:gridCol w:w="355"/>
        <w:gridCol w:w="765"/>
        <w:gridCol w:w="369"/>
        <w:gridCol w:w="751"/>
        <w:gridCol w:w="383"/>
        <w:gridCol w:w="737"/>
        <w:gridCol w:w="397"/>
        <w:gridCol w:w="723"/>
        <w:gridCol w:w="411"/>
        <w:gridCol w:w="709"/>
        <w:gridCol w:w="425"/>
        <w:gridCol w:w="695"/>
        <w:gridCol w:w="439"/>
        <w:gridCol w:w="681"/>
        <w:gridCol w:w="311"/>
        <w:gridCol w:w="851"/>
        <w:gridCol w:w="711"/>
        <w:gridCol w:w="848"/>
        <w:gridCol w:w="980"/>
      </w:tblGrid>
      <w:tr w:rsidR="000171B1" w:rsidRPr="00F212F6" w:rsidTr="000171B1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0171B1" w:rsidRPr="00F212F6" w:rsidTr="000171B1">
        <w:trPr>
          <w:trHeight w:val="9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к постановлению администрации Алатырского муниципального округа от 10.02.2023 № 167а</w:t>
            </w:r>
          </w:p>
        </w:tc>
      </w:tr>
      <w:tr w:rsidR="000171B1" w:rsidRPr="00F212F6" w:rsidTr="000171B1">
        <w:trPr>
          <w:trHeight w:val="870"/>
        </w:trPr>
        <w:tc>
          <w:tcPr>
            <w:tcW w:w="160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</w:rPr>
              <w:t>Прогноз основных характеристик бюджета Алатырского муниципального округа до 2035 года</w:t>
            </w:r>
          </w:p>
        </w:tc>
      </w:tr>
      <w:tr w:rsidR="000171B1" w:rsidRPr="00F212F6" w:rsidTr="000171B1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4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Годы</w:t>
            </w:r>
          </w:p>
        </w:tc>
      </w:tr>
      <w:tr w:rsidR="000171B1" w:rsidRPr="00F212F6" w:rsidTr="000171B1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2035</w:t>
            </w:r>
          </w:p>
        </w:tc>
      </w:tr>
      <w:tr w:rsidR="000171B1" w:rsidRPr="00F212F6" w:rsidTr="000171B1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171B1" w:rsidRPr="00F212F6" w:rsidTr="000171B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Доходы </w:t>
            </w:r>
            <w:proofErr w:type="gramStart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бюджета ,</w:t>
            </w:r>
            <w:proofErr w:type="gramEnd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387 351,5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346 496,3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354 896,3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368 918,5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382 332,3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396 476,5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411 385,2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427 823,2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444 972,2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462 757,7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481 306,8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500 463,5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520 466,3</w:t>
            </w:r>
          </w:p>
        </w:tc>
      </w:tr>
      <w:tr w:rsidR="000171B1" w:rsidRPr="00F212F6" w:rsidTr="000171B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1B1" w:rsidRPr="00F212F6" w:rsidTr="000171B1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87 622,0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92 360,7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97 754,3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101 490,8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105 593,4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109 736,1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114 106,8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118 653,7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123 435,9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128 360,0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133 533,1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138 779,0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144 314,3</w:t>
            </w:r>
          </w:p>
        </w:tc>
      </w:tr>
      <w:tr w:rsidR="000171B1" w:rsidRPr="00F212F6" w:rsidTr="000171B1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перечисления,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299 729,5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254 135,6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257 142,0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267 427,7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276 738,9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286 740,4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297 278,4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309 169,5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321 536,3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334 397,7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347 773,7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361 684,5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376 152,0</w:t>
            </w:r>
          </w:p>
        </w:tc>
      </w:tr>
      <w:tr w:rsidR="000171B1" w:rsidRPr="00F212F6" w:rsidTr="000171B1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Изменение собственных доходов бюджета Алатырского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4 738,7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5 393,6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3 736,5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4 142,7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4 370,7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4 546,9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4 782,2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4 924,1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5 173,1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5 245,9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color w:val="000000"/>
              </w:rPr>
            </w:pPr>
            <w:r w:rsidRPr="00F212F6">
              <w:rPr>
                <w:rFonts w:ascii="TimesET" w:eastAsia="Times New Roman" w:hAnsi="TimesET" w:cs="Times New Roman"/>
                <w:color w:val="000000"/>
              </w:rPr>
              <w:t>5 535,3</w:t>
            </w:r>
          </w:p>
        </w:tc>
      </w:tr>
      <w:tr w:rsidR="000171B1" w:rsidRPr="00F212F6" w:rsidTr="000171B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к предыдущему году, процентов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</w:tr>
      <w:tr w:rsidR="000171B1" w:rsidRPr="00F212F6" w:rsidTr="000171B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бюджета ,</w:t>
            </w:r>
            <w:proofErr w:type="gramEnd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400 586,0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346 496,3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354 896,3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368 918,5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382 332,3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396 476,5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411 385,2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427 823,2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444 972,2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462 757,7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481 306,8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500 463,5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520 466,3</w:t>
            </w:r>
          </w:p>
        </w:tc>
      </w:tr>
      <w:tr w:rsidR="000171B1" w:rsidRPr="00F212F6" w:rsidTr="000171B1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из них условно - утвержденные расходы,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3 470,0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7 132,5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7 417,8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7 714,5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8 023,1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8 344,0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8 677,8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9 024,9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9 385,9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9 761,3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10 151,8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10 557,8</w:t>
            </w:r>
          </w:p>
        </w:tc>
      </w:tr>
      <w:tr w:rsidR="000171B1" w:rsidRPr="00F212F6" w:rsidTr="000171B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Дефицит/профицит,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-13 234,5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171B1" w:rsidRPr="00F212F6" w:rsidTr="000171B1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долг </w:t>
            </w:r>
            <w:proofErr w:type="gramStart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>бюджета ,</w:t>
            </w:r>
            <w:proofErr w:type="gramEnd"/>
            <w:r w:rsidRPr="00F212F6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171B1" w:rsidRPr="00F212F6" w:rsidTr="000171B1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Отношение муниципального долга бюджета  к налоговым и неналоговым доходам, процентов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2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97"/>
        <w:gridCol w:w="396"/>
        <w:gridCol w:w="1024"/>
        <w:gridCol w:w="1102"/>
        <w:gridCol w:w="138"/>
        <w:gridCol w:w="854"/>
        <w:gridCol w:w="326"/>
        <w:gridCol w:w="666"/>
        <w:gridCol w:w="594"/>
        <w:gridCol w:w="399"/>
        <w:gridCol w:w="821"/>
        <w:gridCol w:w="171"/>
        <w:gridCol w:w="1049"/>
        <w:gridCol w:w="935"/>
        <w:gridCol w:w="265"/>
        <w:gridCol w:w="728"/>
        <w:gridCol w:w="512"/>
        <w:gridCol w:w="480"/>
        <w:gridCol w:w="700"/>
        <w:gridCol w:w="292"/>
        <w:gridCol w:w="992"/>
        <w:gridCol w:w="596"/>
        <w:gridCol w:w="816"/>
        <w:gridCol w:w="1280"/>
      </w:tblGrid>
      <w:tr w:rsidR="000171B1" w:rsidRPr="00F212F6" w:rsidTr="00955848">
        <w:trPr>
          <w:gridAfter w:val="2"/>
          <w:wAfter w:w="2096" w:type="dxa"/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0171B1" w:rsidRPr="00F212F6" w:rsidTr="00955848">
        <w:trPr>
          <w:gridAfter w:val="2"/>
          <w:wAfter w:w="2096" w:type="dxa"/>
          <w:trHeight w:val="70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 Алатырского муниципального округа от  10.02.2023 № 167а</w:t>
            </w:r>
          </w:p>
        </w:tc>
      </w:tr>
      <w:tr w:rsidR="000171B1" w:rsidRPr="00F212F6" w:rsidTr="00955848">
        <w:trPr>
          <w:gridAfter w:val="2"/>
          <w:wAfter w:w="2096" w:type="dxa"/>
          <w:trHeight w:val="675"/>
        </w:trPr>
        <w:tc>
          <w:tcPr>
            <w:tcW w:w="159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финансового обеспечения муниципальных программ  Алатырского муниципального округа Чувашской Республики до 2035 года</w:t>
            </w:r>
          </w:p>
        </w:tc>
      </w:tr>
      <w:tr w:rsidR="000171B1" w:rsidRPr="00F212F6" w:rsidTr="0095584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</w:tr>
      <w:tr w:rsidR="000171B1" w:rsidRPr="00F212F6" w:rsidTr="00955848">
        <w:trPr>
          <w:gridAfter w:val="3"/>
          <w:wAfter w:w="2692" w:type="dxa"/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171B1" w:rsidRPr="00F212F6" w:rsidTr="00955848">
        <w:trPr>
          <w:gridAfter w:val="3"/>
          <w:wAfter w:w="2692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3 625,5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3 698,0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3 772,0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3 847,4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4 082,9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3 416,4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3 484,7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3 554,4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3 625,5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3 698,0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3 772,0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3 847,4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3 924,4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4 002,8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4 082,9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 и туризма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20 536,5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18 099,7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18 713,8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19 462,3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21 050,4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21 892,5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22 768,2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23 678,9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24 626,0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26 635,5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77,7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19 908,3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17 942,6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17 941,5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18 659,2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19 405,5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20 181,7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20 989,0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21 828,6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22 701,7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23 609,8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24 554,2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25 536,3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26 557,8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5 656,8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6 118,4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6 363,1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6 617,6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7 741,7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5 550,0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5 230,0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5 439,2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5 656,8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5 883,0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6 118,4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6 363,1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6 617,6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6 882,3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7 157,6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7 443,9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7 741,7</w:t>
            </w:r>
          </w:p>
        </w:tc>
      </w:tr>
      <w:tr w:rsidR="000171B1" w:rsidRPr="00F212F6" w:rsidTr="00955848">
        <w:trPr>
          <w:gridAfter w:val="3"/>
          <w:wAfter w:w="2692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Содействие занятости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137,6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0171B1" w:rsidRPr="00F212F6" w:rsidTr="00955848">
        <w:trPr>
          <w:gridAfter w:val="3"/>
          <w:wAfter w:w="2692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190 011,1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176 066,8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180 567,0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187 932,0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195 598,6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203 579,5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211 887,4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220 535,8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229 538,8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238 911,1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248 667,7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258 824,7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269 398,4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14 438,4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14 438,4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14 228,8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14 940,2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15 687,3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16 471,6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17 295,2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18 160,0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19 068,0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20 021,4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21 022,4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22 073,5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23 177,2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145 018,5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144 595,5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144 645,0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150 430,8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156 448,0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162 706,0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169 214,2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175 982,8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183 022,1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190 343,0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197 956,7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205 874,9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214 109,9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30 554,2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17 032,9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22 560,9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23 463,4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24 401,9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25 378,0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26 393,1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27 448,8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28 546,8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29 688,6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30 876,2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32 111,2</w:t>
            </w:r>
          </w:p>
        </w:tc>
      </w:tr>
      <w:tr w:rsidR="000171B1" w:rsidRPr="00F212F6" w:rsidTr="00955848">
        <w:trPr>
          <w:gridAfter w:val="3"/>
          <w:wAfter w:w="2692" w:type="dxa"/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Повышение безопасности жизнедеятельности населения и территорий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4 233,0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2 047,3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2 214,3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2 590,4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4 233,0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2 047,3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2 129,1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2 214,3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2 302,9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2 395,0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2 590,4</w:t>
            </w:r>
          </w:p>
        </w:tc>
      </w:tr>
      <w:tr w:rsidR="000171B1" w:rsidRPr="00F212F6" w:rsidTr="00955848">
        <w:trPr>
          <w:gridAfter w:val="3"/>
          <w:wAfter w:w="2692" w:type="dxa"/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1 340,9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1 860,4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2 035,7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2 239,9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2 349,6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2 984,6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1 041,7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1 654,8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1 824,4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2 011,4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2 112,0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2 217,6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2 328,5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2 444,9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2 695,5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213,3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75,8</w:t>
            </w:r>
          </w:p>
        </w:tc>
      </w:tr>
      <w:tr w:rsidR="000171B1" w:rsidRPr="00F212F6" w:rsidTr="00955848">
        <w:trPr>
          <w:gridAfter w:val="3"/>
          <w:wAfter w:w="2692" w:type="dxa"/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Развитие транспортной системы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55 664,2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55 636,5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56 022,9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58 694,6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61 494,8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67 505,4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70 729,3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74 108,3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81 362,2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85 253,2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89 331,7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43 368,1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43 081,5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43 081,5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45 235,6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47 497,4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49 872,2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52 365,8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54 984,1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57 733,3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60 620,0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63 651,0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66 833,5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70 175,2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12 296,1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12 555,0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12 941,4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13 459,1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13 997,4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14 557,3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15 139,6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15 745,2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16 375,0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17 030,0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17 711,2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18 419,6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19 156,4</w:t>
            </w:r>
          </w:p>
        </w:tc>
      </w:tr>
      <w:tr w:rsidR="000171B1" w:rsidRPr="00F212F6" w:rsidTr="00955848">
        <w:trPr>
          <w:gridAfter w:val="3"/>
          <w:wAfter w:w="2692" w:type="dxa"/>
          <w:trHeight w:val="4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общественными финансами и муниципальным долгом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12 622,3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6 615,1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6 913,1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7 776,3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8 087,3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8 410,8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8 747,3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9 097,2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9 839,5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942,5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1 054,1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1 140,1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1 185,7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1 233,2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1 282,5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1 333,8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1 442,6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4 844,5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6 883,5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5 672,6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5 672,6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5 899,5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6 135,5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6 380,9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6 636,1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6 901,6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7 177,6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7 464,8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7 763,3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8 073,9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8 396,8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потенциала муниципального 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67 779,6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61 860,2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61 860,1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63 097,3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64 359,2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65 646,4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66 959,3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68 298,5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70 606,6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72 959,8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75 834,1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78 897,8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67 778,8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61 859,4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61 859,4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63 096,6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64 358,5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65 645,7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66 958,6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68 297,8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70 605,9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72 959,1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75 833,4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77 350,1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78 897,1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строительного комплекса и </w:t>
            </w: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архитектуры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1 094,8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324,1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2 993,1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324,1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граждан  доступным и комфортным жильем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14 760,9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7 101,7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7 167,7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7 239,3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7 384,9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7 458,7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7 533,3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7 684,7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7 839,2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4 755,0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5 028,4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5 022,7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5 072,9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5 123,7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5 174,9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5 226,6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5 278,9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5 331,7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5 438,9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5 548,2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9 255,9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1 773,3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1 791,7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1 809,7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1 846,0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1 864,5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1 883,1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1 959,6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315,3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331,4</w:t>
            </w:r>
          </w:p>
        </w:tc>
      </w:tr>
      <w:tr w:rsidR="000171B1" w:rsidRPr="00F212F6" w:rsidTr="00955848">
        <w:trPr>
          <w:gridAfter w:val="3"/>
          <w:wAfter w:w="2692" w:type="dxa"/>
          <w:trHeight w:val="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832,1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473,1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Развитие земельных и имущественных отношений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1 325,2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3 806,3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1 325,2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1 810,3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1 882,6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3 806,3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4 233,9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4 173,8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1 995,4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2 211,6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2 205,6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4 701,3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2 006,7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1 920,5</w:t>
            </w:r>
          </w:p>
        </w:tc>
      </w:tr>
      <w:tr w:rsidR="000171B1" w:rsidRPr="00F212F6" w:rsidTr="00955848">
        <w:trPr>
          <w:gridAfter w:val="3"/>
          <w:wAfter w:w="2692" w:type="dxa"/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Комплексное развитие сельских территорий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10 998,1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1 243,0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1 053,0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республиканских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10 248,7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85,0</w:t>
            </w:r>
          </w:p>
        </w:tc>
      </w:tr>
      <w:tr w:rsidR="000171B1" w:rsidRPr="00F212F6" w:rsidTr="00955848">
        <w:trPr>
          <w:gridAfter w:val="3"/>
          <w:wAfter w:w="2692" w:type="dxa"/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0171B1" w:rsidRPr="00F212F6" w:rsidTr="00955848">
        <w:trPr>
          <w:gridAfter w:val="3"/>
          <w:wAfter w:w="2692" w:type="dxa"/>
          <w:trHeight w:val="2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400 586,0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343 026,3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347 763,8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361 500,7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374 617,8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388 453,4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403 041,2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419 145,4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435 947,2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453 371,8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471 545,3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B1" w:rsidRPr="00F212F6" w:rsidRDefault="000171B1" w:rsidP="0095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509 908,5</w:t>
            </w:r>
          </w:p>
        </w:tc>
      </w:tr>
    </w:tbl>
    <w:p w:rsidR="000171B1" w:rsidRPr="005C63E0" w:rsidRDefault="000171B1" w:rsidP="0001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171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171B1" w:rsidSect="000171B1">
          <w:pgSz w:w="16838" w:h="11906" w:orient="landscape"/>
          <w:pgMar w:top="709" w:right="567" w:bottom="1276" w:left="567" w:header="709" w:footer="709" w:gutter="0"/>
          <w:cols w:space="708"/>
          <w:titlePg/>
          <w:docGrid w:linePitch="360"/>
        </w:sectPr>
      </w:pPr>
    </w:p>
    <w:p w:rsidR="000171B1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1B1" w:rsidRPr="005C63E0" w:rsidRDefault="000171B1" w:rsidP="0002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171B1" w:rsidRPr="005C63E0" w:rsidSect="00A424FC"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F9" w:rsidRDefault="00695BF9" w:rsidP="00FC7127">
      <w:pPr>
        <w:spacing w:after="0" w:line="240" w:lineRule="auto"/>
      </w:pPr>
      <w:r>
        <w:separator/>
      </w:r>
    </w:p>
  </w:endnote>
  <w:endnote w:type="continuationSeparator" w:id="0">
    <w:p w:rsidR="00695BF9" w:rsidRDefault="00695BF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F9" w:rsidRDefault="00695BF9" w:rsidP="00FC7127">
      <w:pPr>
        <w:spacing w:after="0" w:line="240" w:lineRule="auto"/>
      </w:pPr>
      <w:r>
        <w:separator/>
      </w:r>
    </w:p>
  </w:footnote>
  <w:footnote w:type="continuationSeparator" w:id="0">
    <w:p w:rsidR="00695BF9" w:rsidRDefault="00695BF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C4" w:rsidRDefault="00666BC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BC4" w:rsidRDefault="00666B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401697"/>
      <w:docPartObj>
        <w:docPartGallery w:val="Page Numbers (Top of Page)"/>
        <w:docPartUnique/>
      </w:docPartObj>
    </w:sdtPr>
    <w:sdtEndPr/>
    <w:sdtContent>
      <w:p w:rsidR="00666BC4" w:rsidRDefault="00666B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10">
          <w:rPr>
            <w:noProof/>
          </w:rPr>
          <w:t>16</w:t>
        </w:r>
        <w:r>
          <w:fldChar w:fldCharType="end"/>
        </w:r>
      </w:p>
    </w:sdtContent>
  </w:sdt>
  <w:p w:rsidR="00666BC4" w:rsidRDefault="00666B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5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4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11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1B1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D04DC"/>
    <w:rsid w:val="000D4FD4"/>
    <w:rsid w:val="000D779C"/>
    <w:rsid w:val="000E7C6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10D71"/>
    <w:rsid w:val="00211BA8"/>
    <w:rsid w:val="00217DA4"/>
    <w:rsid w:val="002212A6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352E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280B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1232D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0B90"/>
    <w:rsid w:val="0046154E"/>
    <w:rsid w:val="0046259C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046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411F"/>
    <w:rsid w:val="005150DB"/>
    <w:rsid w:val="00521810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473DC"/>
    <w:rsid w:val="00657FE7"/>
    <w:rsid w:val="00661254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95BF9"/>
    <w:rsid w:val="006A0917"/>
    <w:rsid w:val="006A13DE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7796A"/>
    <w:rsid w:val="00787CA2"/>
    <w:rsid w:val="0079467D"/>
    <w:rsid w:val="00796F3D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E0"/>
    <w:rsid w:val="00852DFC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8F605E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302A"/>
    <w:rsid w:val="009A4892"/>
    <w:rsid w:val="009A7AC6"/>
    <w:rsid w:val="009B646A"/>
    <w:rsid w:val="009D38C0"/>
    <w:rsid w:val="009D5FD8"/>
    <w:rsid w:val="009D7E6E"/>
    <w:rsid w:val="009E1696"/>
    <w:rsid w:val="009E3F5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1ED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551D"/>
    <w:rsid w:val="00B96C8A"/>
    <w:rsid w:val="00BA4E94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1510"/>
    <w:rsid w:val="00C034E8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90205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CF6D28"/>
    <w:rsid w:val="00D049EF"/>
    <w:rsid w:val="00D07631"/>
    <w:rsid w:val="00D13581"/>
    <w:rsid w:val="00D14B43"/>
    <w:rsid w:val="00D21BA3"/>
    <w:rsid w:val="00D24F82"/>
    <w:rsid w:val="00D26372"/>
    <w:rsid w:val="00D34C0A"/>
    <w:rsid w:val="00D35B22"/>
    <w:rsid w:val="00D41390"/>
    <w:rsid w:val="00D430E5"/>
    <w:rsid w:val="00D44CDB"/>
    <w:rsid w:val="00D44DBB"/>
    <w:rsid w:val="00D5704B"/>
    <w:rsid w:val="00D62389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7B0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393B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A91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D6F7-449F-450F-AC70-8CC344F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character" w:styleId="aff1">
    <w:name w:val="Hyperlink"/>
    <w:basedOn w:val="a0"/>
    <w:uiPriority w:val="99"/>
    <w:semiHidden/>
    <w:unhideWhenUsed/>
    <w:rsid w:val="000171B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0171B1"/>
    <w:rPr>
      <w:color w:val="800080"/>
      <w:u w:val="single"/>
    </w:rPr>
  </w:style>
  <w:style w:type="paragraph" w:customStyle="1" w:styleId="xl65">
    <w:name w:val="xl65"/>
    <w:basedOn w:val="a"/>
    <w:rsid w:val="000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17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171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171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1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</w:rPr>
  </w:style>
  <w:style w:type="paragraph" w:customStyle="1" w:styleId="xl85">
    <w:name w:val="xl85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</w:rPr>
  </w:style>
  <w:style w:type="paragraph" w:customStyle="1" w:styleId="xl86">
    <w:name w:val="xl86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i/>
      <w:iCs/>
      <w:sz w:val="24"/>
      <w:szCs w:val="24"/>
    </w:rPr>
  </w:style>
  <w:style w:type="paragraph" w:customStyle="1" w:styleId="xl87">
    <w:name w:val="xl87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ET" w:eastAsia="Times New Roman" w:hAnsi="TimesET" w:cs="Times New Roman"/>
      <w:b/>
      <w:bCs/>
      <w:sz w:val="24"/>
      <w:szCs w:val="24"/>
    </w:rPr>
  </w:style>
  <w:style w:type="paragraph" w:customStyle="1" w:styleId="xl88">
    <w:name w:val="xl88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ET" w:eastAsia="Times New Roman" w:hAnsi="TimesET" w:cs="Times New Roman"/>
      <w:i/>
      <w:iCs/>
      <w:sz w:val="24"/>
      <w:szCs w:val="24"/>
    </w:rPr>
  </w:style>
  <w:style w:type="paragraph" w:customStyle="1" w:styleId="xl89">
    <w:name w:val="xl89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17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17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17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171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17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604/1701" TargetMode="External"/><Relationship Id="rId18" Type="http://schemas.openxmlformats.org/officeDocument/2006/relationships/hyperlink" Target="http://mobileonline.garant.ru/document/redirect/10103000/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449092/0" TargetMode="External"/><Relationship Id="rId17" Type="http://schemas.openxmlformats.org/officeDocument/2006/relationships/hyperlink" Target="http://mobileonline.garant.ru/document/redirect/10900200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715700/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84666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400690801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1701" TargetMode="External"/><Relationship Id="rId19" Type="http://schemas.openxmlformats.org/officeDocument/2006/relationships/hyperlink" Target="http://mobileonline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449091/0" TargetMode="External"/><Relationship Id="rId14" Type="http://schemas.openxmlformats.org/officeDocument/2006/relationships/hyperlink" Target="http://internet.garant.ru/document/redirect/22725125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5F57-DEA7-4FAA-BF8E-CFB7155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17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65</cp:revision>
  <cp:lastPrinted>2023-01-20T08:22:00Z</cp:lastPrinted>
  <dcterms:created xsi:type="dcterms:W3CDTF">2023-01-18T11:05:00Z</dcterms:created>
  <dcterms:modified xsi:type="dcterms:W3CDTF">2024-03-08T08:12:00Z</dcterms:modified>
</cp:coreProperties>
</file>