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Республика</w:t>
            </w:r>
          </w:p>
          <w:p>
            <w:pPr>
              <w:rPr>
                <w:sz w:val="8"/>
                <w:szCs w:val="24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городское</w:t>
            </w:r>
          </w:p>
          <w:p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депутатов</w:t>
            </w:r>
          </w:p>
          <w:p>
            <w:pPr>
              <w:ind w:left="-112" w:right="-102"/>
              <w:jc w:val="center"/>
              <w:rPr>
                <w:rFonts w:ascii="Baltica Chv" w:hAnsi="Baltica Chv"/>
                <w:b/>
                <w:sz w:val="24"/>
                <w:szCs w:val="24"/>
              </w:rPr>
            </w:pP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  <w:r>
              <w:rPr>
                <w:b/>
                <w:caps/>
                <w:spacing w:val="40"/>
                <w:sz w:val="24"/>
                <w:szCs w:val="24"/>
              </w:rPr>
              <w:t>РЕШЕНИЕ</w:t>
            </w:r>
          </w:p>
          <w:p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4"/>
                <w:szCs w:val="24"/>
              </w:rPr>
            </w:pPr>
          </w:p>
        </w:tc>
        <w:tc>
          <w:tcPr>
            <w:tcW w:w="1588" w:type="dxa"/>
            <w:hideMark/>
          </w:tcPr>
          <w:p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Республики</w:t>
            </w:r>
          </w:p>
          <w:p>
            <w:pPr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хулин</w:t>
            </w:r>
          </w:p>
          <w:p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pacing w:val="40"/>
                <w:sz w:val="24"/>
                <w:szCs w:val="24"/>
              </w:rPr>
              <w:t>Пухăвĕ</w:t>
            </w:r>
          </w:p>
          <w:p>
            <w:pPr>
              <w:jc w:val="center"/>
              <w:rPr>
                <w:rFonts w:ascii="Baltica Chv" w:hAnsi="Baltica Chv"/>
                <w:b/>
                <w:spacing w:val="40"/>
                <w:sz w:val="24"/>
                <w:szCs w:val="24"/>
              </w:rPr>
            </w:pPr>
          </w:p>
          <w:p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ЙЫШĂНУ</w:t>
            </w:r>
          </w:p>
        </w:tc>
      </w:tr>
    </w:tbl>
    <w:p>
      <w:pPr>
        <w:spacing w:line="28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5 марта 2024 года № 1558</w:t>
      </w:r>
      <w:bookmarkStart w:id="0" w:name="_GoBack"/>
      <w:bookmarkEnd w:id="0"/>
    </w:p>
    <w:p>
      <w:pPr>
        <w:tabs>
          <w:tab w:val="left" w:pos="3969"/>
        </w:tabs>
        <w:ind w:right="4536"/>
        <w:jc w:val="both"/>
        <w:rPr>
          <w:sz w:val="28"/>
        </w:rPr>
      </w:pPr>
    </w:p>
    <w:p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 внесении изменений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 503</w:t>
      </w:r>
    </w:p>
    <w:p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и приведения функций управления ЖКХ, энергетики, транспорта и связи администрации города Чебоксары в соответствие с решением Чебоксарского городского Собрания депутатов от                 2 октября 2023 года № 1365 «О внесении изменений в Устав муниципального образования города Чебоксары – столицы Чувашской Республики» и действующему законодательству </w:t>
      </w:r>
    </w:p>
    <w:p>
      <w:pPr>
        <w:spacing w:after="120" w:line="360" w:lineRule="auto"/>
        <w:ind w:firstLine="709"/>
        <w:jc w:val="center"/>
        <w:rPr>
          <w:sz w:val="28"/>
        </w:rPr>
      </w:pPr>
      <w:r>
        <w:rPr>
          <w:sz w:val="28"/>
        </w:rPr>
        <w:t>Чебоксарское городское Собрание депутатов</w:t>
      </w:r>
    </w:p>
    <w:p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РЕШИЛО: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Положение об управлении ЖКХ, энергетики, транспорта и связи администрации города Чебоксары, утвержденное решением Чебоксарского городского Собрания депутатов от 6 марта 2012 года № 503 (в редакции решений Чебоксарского городского Собрания депутатов от 4 июля 2013 года № 1074, от 22 сентября 2016 года № 448, от 28 марта 2017 года                 № 679, от 20 августа 2019 года № 1808, от 17 мая 2022 года № 764, от                     19 декабря 2023 года № 1472), следующие изменения: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 абзац второй пункта 1.4 раздела I «Общие положения» изложить в следующей редакции: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«В ведомственном подчинении Управления находятся МКУ «Управление ЖКХ и благоустройства» города Чебоксары, МБУ «Управление </w:t>
      </w:r>
      <w:r>
        <w:rPr>
          <w:sz w:val="28"/>
        </w:rPr>
        <w:lastRenderedPageBreak/>
        <w:t>жилищным фондом города Чебоксары», МКУ «Чебоксарское городское бюро регистрации несчастных случаев».»;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 подпункт 1 пункта 2.1 раздела I</w:t>
      </w:r>
      <w:r>
        <w:rPr>
          <w:sz w:val="28"/>
          <w:lang w:val="en-US"/>
        </w:rPr>
        <w:t>I</w:t>
      </w:r>
      <w:r>
        <w:rPr>
          <w:sz w:val="28"/>
        </w:rPr>
        <w:t xml:space="preserve"> «Основные задачи» изложить в следующей редакции: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«1) организации в границах города Чебоксары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 в пункте 3.1 раздела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«Функции»: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подпункт 9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«9) устанавливает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самоуправления;»;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подпункт 20 исключить;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подпункт 30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«30) участвует по согласованию с уполномоченными исполнительными органами Чувашской Республики в согласовании технического задания на разработку инвестиционной программы в сфере водоснабжения и водоотведения;»;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подпункт 31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«31) участвует по согласованию с уполномоченными исполнительными органами Чувашской Республики в согласовании проекта инвестиционной программы организаций, осуществляющих деятельность в сфере водоснабжения и водоотведения, а также субъектов электроэнергетики;»;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подпункт 32 исключить;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подпункт 54 изложить в следующей редакции: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«54) организует и участвует в работе комиссии по вопросам развития транспортной сети и безопасности дорожного движения в городе Чебоксары;»;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 подпункт 61 изложить в следующей редакции: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«61) участвует в предоставлении муниципальных услуг: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выдача, продление ордера-разрешения на производство земляных работ;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выдача, продление ордера-разрешения на вырубку (снос) зеленых насаждений на земельных участках, находящихся в муниципальной собственности города Чебоксары;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(некапитального) строительства (реконструкции) и присоединение объектов к автомобильным дорогам общего пользования местного значения города Чебоксары;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постановка на учет многодетных семей, имеющих право на предоставление земельных участков в собственность бесплатно;»;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подпункт 80 изложить в следующей редакции: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«80) 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деятельности, годовой бухгалтерской отчетности, заключает трудовые договоры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Управления;»;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дополнить подпунктом 86 следующего содержания: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«86) ведет учет граждан, нуждающихся в жилых помещениях по договорам социального найма, а также нуждающихся в жилых помещениях и имеющих право на государственную поддержку;»;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дополнить подпунктом 87 следующего содержания:</w:t>
      </w:r>
    </w:p>
    <w:p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«87) осуществляет муниципальный жилищный контроль.».</w:t>
      </w:r>
    </w:p>
    <w:p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Настоящее решение вступает в силу со дня его официального опубликования. 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3. Опубликовать настоящее решение на сайте Чебоксарского городского Собрания депутатов в информационно-телекоммуникационной сети «Интернет».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  <w:r>
        <w:rPr>
          <w:sz w:val="28"/>
        </w:rPr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tbl>
      <w:tblPr>
        <w:tblStyle w:val="ab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395"/>
      </w:tblGrid>
      <w:tr>
        <w:tc>
          <w:tcPr>
            <w:tcW w:w="4503" w:type="dxa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Председатель Чебоксарского городского Собрания депутатов</w:t>
            </w:r>
          </w:p>
        </w:tc>
        <w:tc>
          <w:tcPr>
            <w:tcW w:w="850" w:type="dxa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4395" w:type="dxa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Глава города Чебоксары</w:t>
            </w:r>
          </w:p>
        </w:tc>
      </w:tr>
      <w:tr>
        <w:tc>
          <w:tcPr>
            <w:tcW w:w="4503" w:type="dxa"/>
            <w:vAlign w:val="bottom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</w:p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__________________ Е.Н. Кадышев</w:t>
            </w:r>
          </w:p>
        </w:tc>
        <w:tc>
          <w:tcPr>
            <w:tcW w:w="850" w:type="dxa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</w:p>
        </w:tc>
        <w:tc>
          <w:tcPr>
            <w:tcW w:w="4395" w:type="dxa"/>
            <w:vAlign w:val="bottom"/>
          </w:tcPr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</w:p>
          <w:p>
            <w:pPr>
              <w:tabs>
                <w:tab w:val="left" w:pos="68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__________________ Д.В. Спирин</w:t>
            </w:r>
          </w:p>
        </w:tc>
      </w:tr>
    </w:tbl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2"/>
        <w:ind w:left="10065"/>
      </w:pPr>
    </w:p>
    <w:sectPr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038011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6B4495-E51D-4815-81DC-3B39C22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9C6E-9DAB-4072-8567-7BFEB987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gcheb_chgsd4</cp:lastModifiedBy>
  <cp:revision>10</cp:revision>
  <cp:lastPrinted>2024-03-15T10:11:00Z</cp:lastPrinted>
  <dcterms:created xsi:type="dcterms:W3CDTF">2024-02-06T11:35:00Z</dcterms:created>
  <dcterms:modified xsi:type="dcterms:W3CDTF">2024-03-26T08:29:00Z</dcterms:modified>
</cp:coreProperties>
</file>