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179" w:leftFromText="180" w:topFromText="0" w:rightFromText="180" w:bottomFromText="0"/>
        <w:tblW w:w="9526" w:type="dxa"/>
        <w:tblLook w:val="04A0" w:firstRow="1" w:lastRow="0" w:firstColumn="1" w:lastColumn="0" w:noHBand="0" w:noVBand="1"/>
      </w:tblPr>
      <w:tblGrid>
        <w:gridCol w:w="3936"/>
        <w:gridCol w:w="1701"/>
        <w:gridCol w:w="3889"/>
      </w:tblGrid>
      <w:tr>
        <w:tblPrEx/>
        <w:trPr>
          <w:trHeight w:val="1142"/>
        </w:trPr>
        <w:tc>
          <w:tcPr>
            <w:tcW w:w="393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ЧĂВАШ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P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ЕСПУБЛИКИН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ПАТШАЛĂХĂН ПУРĂНМАЛЛИ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 ÇУРТ-ЙĔ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 ИНСПЕКЦИЙĔ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widowControl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val="ru-RU" w:eastAsia="ar-SA"/>
              </w:rPr>
              <w:t xml:space="preserve"> Р И К А З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 w:eastAsia="ar-SA"/>
              </w:rPr>
              <w:t xml:space="preserve">_____________ ______№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lang w:val="ru-RU" w:eastAsia="ar-SA"/>
              </w:rPr>
              <w:t xml:space="preserve">Шупашкар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lang w:val="ru-RU" w:eastAsia="ar-SA"/>
              </w:rPr>
              <w:t xml:space="preserve"> хули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widowControl/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pacing w:val="20"/>
                <w:sz w:val="24"/>
                <w:szCs w:val="24"/>
                <w:lang w:val="ru-RU" w:eastAsia="ar-SA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140" cy="580390"/>
                      <wp:effectExtent l="0" t="0" r="0" b="0"/>
                      <wp:docPr id="1" name="Рисунок 14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140" cy="580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8.20pt;height:45.7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W w:w="3889" w:type="dxa"/>
            <w:textDirection w:val="lrTb"/>
            <w:noWrap w:val="false"/>
          </w:tcPr>
          <w:p>
            <w:pPr>
              <w:jc w:val="center"/>
              <w:spacing w:before="150" w:after="150"/>
              <w:widowControl/>
              <w:rPr>
                <w:rFonts w:ascii="PT Astra Serif" w:hAnsi="PT Astra Serif" w:cs="PT Astra Serif"/>
                <w:b/>
                <w:bCs/>
                <w:sz w:val="24"/>
                <w:szCs w:val="36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36"/>
                <w:lang w:val="ru-RU" w:eastAsia="ar-SA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36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 w:eastAsia="ar-SA"/>
              </w:rPr>
              <w:t xml:space="preserve">ГОСУДАРСТВЕННАЯ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 w:eastAsia="ar-SA"/>
              </w:rPr>
              <w:t xml:space="preserve">ЖИЛИЩНАЯ ИНСПЕКЦИЯ ЧУВАШСКОЙ РЕСПУБЛИКИ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 w:eastAsia="ar-SA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widowControl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 w:eastAsia="ar-SA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 w:eastAsia="ar-SA"/>
              </w:rPr>
              <w:t xml:space="preserve"> Р И К А З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Cs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val="ru-RU" w:eastAsia="ar-SA"/>
              </w:rPr>
              <w:t xml:space="preserve">____________ №______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Cs/>
                <w:sz w:val="20"/>
                <w:szCs w:val="20"/>
              </w:rPr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val="ru-RU" w:eastAsia="ar-SA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val="ru-RU" w:eastAsia="ar-SA"/>
              </w:rPr>
              <w:t xml:space="preserve">.Ч</w:t>
            </w: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val="ru-RU" w:eastAsia="ar-SA"/>
              </w:rPr>
              <w:t xml:space="preserve">ебоксары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</w:p>
          <w:p>
            <w:pPr>
              <w:jc w:val="center"/>
              <w:widowControl/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spacing w:val="20"/>
                <w:sz w:val="20"/>
                <w:szCs w:val="20"/>
                <w:lang w:val="ru-RU" w:eastAsia="ar-SA"/>
              </w:rPr>
            </w:r>
            <w:r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</w:r>
          </w:p>
        </w:tc>
      </w:tr>
    </w:tbl>
    <w:p>
      <w:pPr>
        <w:spacing w:before="280"/>
        <w:widowControl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val="ru-RU" w:eastAsia="ar-SA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</w:tblGrid>
      <w:tr>
        <w:tblPrEx/>
        <w:trPr>
          <w:trHeight w:val="11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spacing w:after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О внесении изменени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й в приказ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Го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уда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ственной жилищной инспекции Чува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ской Республики от 10 октября 2024 г. № 65-од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</w:r>
          </w:p>
        </w:tc>
      </w:tr>
    </w:tbl>
    <w:p>
      <w:pPr>
        <w:pStyle w:val="626"/>
        <w:jc w:val="both"/>
        <w:spacing w:before="1" w:line="297" w:lineRule="exact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val="ru-RU"/>
        </w:rPr>
      </w:r>
      <w:r>
        <w:rPr>
          <w:rFonts w:ascii="PT Astra Serif" w:hAnsi="PT Astra Serif" w:cs="PT Astra Serif"/>
        </w:rPr>
      </w:r>
    </w:p>
    <w:p>
      <w:pPr>
        <w:contextualSpacing/>
        <w:ind w:left="0" w:right="0" w:firstLine="709"/>
        <w:jc w:val="both"/>
        <w:spacing w:before="240" w:after="24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 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з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ы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ю:</w:t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after="24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 Внести в Порядок определения объема и условий предоставления субсидий из республиканского бюджета Чувашской Республики бюджетным учреждениям Чувашской Республики, находящимся в ведении государственной жилищной инспекции Чувашской Республики, на иные цели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 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твержденный приказом Государственной жилищной инспекции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 от 10 октября 2024 г. № 65-од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(зарегистрирован в Государственной службе Чувашской Республики по делам юстиции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21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lang w:val="iu-Latn-CA"/>
        </w:rPr>
        <w:t xml:space="preserve">октября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2024 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регистрационный № 9669),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следующие изменения: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after="24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 наименовании, преамбуле и пункте 1 слова «учреждениям Чувашской Республики›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заменить словом «учреждения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м»;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</w:rPr>
      </w:r>
    </w:p>
    <w:p>
      <w:pPr>
        <w:contextualSpacing/>
        <w:ind w:firstLine="720"/>
        <w:jc w:val="both"/>
        <w:spacing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 порядке определения объема и условий предоставления субсидий из республикан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ского бюдж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ета Чувашской Республики бюджетным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учр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еждениям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 находящимся в ведении Государственной жилищной инспекции Чувашской Республики,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на иные цели, утвержденном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указанным приказом:</w:t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 наименовании слова «учре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ждениям Чувашской Республики» заменить словом «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учреждениям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›;</w:t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пункт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раздела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1.1.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изложить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следующей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редакции:</w:t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«1.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Настоящий Порядок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устанавливает общие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правила определения объема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 условия пр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едоставления из республиканского бюджета Чувашской Республики бюджетным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учреждениям,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подведомственным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Государственной жилищной инспекции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убсидий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иные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цели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соответствии с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абзацем вторым пункта 1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статьи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78.1 Бюджетного кодекса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Российской Федерации (за исключением субсидий, предоставляемых в соответствии со статьей 78.4 Бюджетного кодекса Российской Федерации), если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иное не установлено нормативными правовыми актами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Чувашской Республики, до которого в соответствии с бюджетным законодательством Российской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Федерации как до получателя бюдж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етных средств доведены в установленном порядке лимиты бюджетных обязательств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на пр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едоставление субсидий на соответствующий финансовый год (соответствующий финансовый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год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плановый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период)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(далее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соответственно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—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учреждение,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Госжилинспекция Чувашии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ц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елевые субсидии.»;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разделе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II: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пункте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2.2.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абзац первый после слова «предоставлении» дополни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ть словом «целевой»; подпункт «б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» после слова «предоставления» дополнить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словом «целевой»;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подпункт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«в»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пункта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2.3.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после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слова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«предоставлении»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дополнить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словом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«целевой»;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дополнить пунктом 2.25. следующего содержания: 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«Мониторинг достижения значений результатов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предоставления целевой субсидии, установленных Соглашением, и событий, отражающих факт завершения соответствующего мероприятия по получению результата предоставления целевой субсидии (контрольная точка), осуществляется в порядке и по формам, которые устано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влены порядком проведения мониторинга достижения результата предоставления целевой субсидии, установленным Министерством финансов Российской Федерации (за исключением целевых субсидий, предоставляемых в порядке возмещения затрат (недополученных доходов).»;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разделе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III: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наименование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изложить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следующей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редакции: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«III.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Требования к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проведению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мониторинга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достижения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результатов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предоставления целевой субсидии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и представлению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ч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етности»;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пункте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3.2.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абзаце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четвертом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слова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«15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февраля»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заменить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словами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«1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февраля›;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ind w:left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абзацы шестой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-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восьмой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изложить 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следующей редакции: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</w:rPr>
      </w:r>
    </w:p>
    <w:p>
      <w:pPr>
        <w:contextualSpacing/>
        <w:ind w:firstLine="720"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Госжилинспекция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Чувашии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15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февраля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текущего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финансового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года:</w:t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согласованию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Минф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ином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Чувашии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принимает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решение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наличии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(об отсутствии)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потребности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дальнейшем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использовании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остатков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целевых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субсидий;</w:t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jc w:val="both"/>
        <w:spacing w:before="0" w:after="24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представляет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 Минфин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Чувашии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предложения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использованию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остатков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целевых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субсидий,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потребность в дальнейшем использовании которых не подтверждена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.».</w:t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2.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  <w:gridCol w:w="308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7" w:type="dxa"/>
            <w:vAlign w:val="top"/>
            <w:textDirection w:val="lrTb"/>
            <w:noWrap w:val="false"/>
          </w:tcPr>
          <w:p>
            <w:pPr>
              <w:pStyle w:val="621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уководител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–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главн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621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государственн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жилищн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621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инспектор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21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621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621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В.В. Кочетков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</w:tbl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626"/>
        <w:ind w:left="0"/>
        <w:jc w:val="both"/>
        <w:spacing w:line="297" w:lineRule="exact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val="ru-RU"/>
        </w:rPr>
      </w:r>
      <w:r>
        <w:rPr>
          <w:rFonts w:ascii="PT Astra Serif" w:hAnsi="PT Astra Serif" w:cs="PT Astra Serif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kk-KZ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93"/>
      </w:pPr>
      <w:rPr>
        <w:rFonts w:hint="default"/>
        <w:lang w:val="kk-KZ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8" w:hanging="293"/>
      </w:pPr>
      <w:rPr>
        <w:rFonts w:hint="default"/>
        <w:lang w:val="kk-KZ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2" w:hanging="293"/>
      </w:pPr>
      <w:rPr>
        <w:rFonts w:hint="default"/>
        <w:lang w:val="kk-KZ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6" w:hanging="293"/>
      </w:pPr>
      <w:rPr>
        <w:rFonts w:hint="default"/>
        <w:lang w:val="kk-KZ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0" w:hanging="293"/>
      </w:pPr>
      <w:rPr>
        <w:rFonts w:hint="default"/>
        <w:lang w:val="kk-KZ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4" w:hanging="293"/>
      </w:pPr>
      <w:rPr>
        <w:rFonts w:hint="default"/>
        <w:lang w:val="kk-KZ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8" w:hanging="293"/>
      </w:pPr>
      <w:rPr>
        <w:rFonts w:hint="default"/>
        <w:lang w:val="kk-KZ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2" w:hanging="293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0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kk-KZ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28" w:hanging="357"/>
      </w:pPr>
      <w:rPr>
        <w:rFonts w:hint="default"/>
        <w:lang w:val="kk-KZ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6" w:hanging="357"/>
      </w:pPr>
      <w:rPr>
        <w:rFonts w:hint="default"/>
        <w:lang w:val="kk-KZ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4" w:hanging="357"/>
      </w:pPr>
      <w:rPr>
        <w:rFonts w:hint="default"/>
        <w:lang w:val="kk-KZ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2" w:hanging="357"/>
      </w:pPr>
      <w:rPr>
        <w:rFonts w:hint="default"/>
        <w:lang w:val="kk-KZ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0" w:hanging="357"/>
      </w:pPr>
      <w:rPr>
        <w:rFonts w:hint="default"/>
        <w:lang w:val="kk-KZ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68" w:hanging="357"/>
      </w:pPr>
      <w:rPr>
        <w:rFonts w:hint="default"/>
        <w:lang w:val="kk-KZ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6" w:hanging="357"/>
      </w:pPr>
      <w:rPr>
        <w:rFonts w:hint="default"/>
        <w:lang w:val="kk-KZ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357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2"/>
    <w:link w:val="627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uiPriority w:val="1"/>
    <w:qFormat/>
    <w:rPr>
      <w:rFonts w:ascii="Times New Roman" w:hAnsi="Times New Roman" w:eastAsia="Times New Roman" w:cs="Times New Roman"/>
      <w:lang w:val="kk-KZ"/>
    </w:rPr>
  </w:style>
  <w:style w:type="character" w:styleId="622" w:default="1">
    <w:name w:val="Default Paragraph Font"/>
    <w:uiPriority w:val="1"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table" w:styleId="62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6">
    <w:name w:val="Body Text"/>
    <w:basedOn w:val="621"/>
    <w:uiPriority w:val="1"/>
    <w:qFormat/>
    <w:rPr>
      <w:sz w:val="26"/>
      <w:szCs w:val="26"/>
    </w:rPr>
  </w:style>
  <w:style w:type="paragraph" w:styleId="627">
    <w:name w:val="Title"/>
    <w:basedOn w:val="621"/>
    <w:uiPriority w:val="1"/>
    <w:qFormat/>
    <w:pPr>
      <w:ind w:right="609"/>
      <w:jc w:val="center"/>
    </w:pPr>
    <w:rPr>
      <w:rFonts w:ascii="Courier New" w:hAnsi="Courier New" w:eastAsia="Courier New" w:cs="Courier New"/>
      <w:sz w:val="36"/>
      <w:szCs w:val="36"/>
    </w:rPr>
  </w:style>
  <w:style w:type="paragraph" w:styleId="628">
    <w:name w:val="List Paragraph"/>
    <w:basedOn w:val="621"/>
    <w:uiPriority w:val="1"/>
    <w:qFormat/>
    <w:pPr>
      <w:ind w:left="110" w:right="108" w:firstLine="715"/>
      <w:jc w:val="both"/>
    </w:pPr>
  </w:style>
  <w:style w:type="paragraph" w:styleId="629" w:customStyle="1">
    <w:name w:val="Table Paragraph"/>
    <w:basedOn w:val="621"/>
    <w:uiPriority w:val="1"/>
    <w:qFormat/>
  </w:style>
  <w:style w:type="paragraph" w:styleId="630">
    <w:name w:val="Balloon Text"/>
    <w:basedOn w:val="621"/>
    <w:link w:val="631"/>
    <w:uiPriority w:val="99"/>
    <w:semiHidden/>
    <w:unhideWhenUsed/>
    <w:rPr>
      <w:rFonts w:ascii="Tahoma" w:hAnsi="Tahoma" w:cs="Tahoma"/>
      <w:sz w:val="16"/>
      <w:szCs w:val="16"/>
    </w:rPr>
  </w:style>
  <w:style w:type="character" w:styleId="631" w:customStyle="1">
    <w:name w:val="Текст выноски Знак"/>
    <w:basedOn w:val="622"/>
    <w:link w:val="630"/>
    <w:uiPriority w:val="99"/>
    <w:semiHidden/>
    <w:rPr>
      <w:rFonts w:ascii="Tahoma" w:hAnsi="Tahoma" w:eastAsia="Times New Roman" w:cs="Tahoma"/>
      <w:sz w:val="16"/>
      <w:szCs w:val="16"/>
      <w:lang w:val="kk-K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dcterms:created xsi:type="dcterms:W3CDTF">2025-01-13T11:00:00Z</dcterms:created>
  <dcterms:modified xsi:type="dcterms:W3CDTF">2025-01-13T16:09:38Z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2025-01-13T00:00:00Z</vt:filetime>
  </property>
  <property fmtid="{D5CDD505-2E9C-101B-9397-08002B2CF9AE}" pid="3" name="Producer">
    <vt:lpwstr>3-Heights(TM) PDF Security Shell 4.8.25.2 (http://www.pdf-tools.com)</vt:lpwstr>
  </property>
</Properties>
</file>