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2C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1304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52C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1304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spacing w:val="-1"/>
          <w:w w:val="105"/>
          <w:kern w:val="0"/>
          <w:sz w:val="28"/>
          <w:szCs w:val="28"/>
          <w:lang w:eastAsia="en-US"/>
        </w:rPr>
      </w:pPr>
    </w:p>
    <w:tbl>
      <w:tblPr>
        <w:tblStyle w:val="34"/>
        <w:tblW w:w="11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097"/>
      </w:tblGrid>
      <w:tr w:rsidR="00F12CF7" w:rsidRPr="00F12CF7" w:rsidTr="00F12CF7">
        <w:tc>
          <w:tcPr>
            <w:tcW w:w="677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right="2302" w:firstLine="0"/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Об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утверждении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Регламента сопровождения</w:t>
            </w:r>
            <w:r w:rsidRPr="00F12CF7">
              <w:rPr>
                <w:rFonts w:eastAsia="Calibri"/>
                <w:spacing w:val="-14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spacing w:val="-1"/>
                <w:w w:val="105"/>
                <w:kern w:val="0"/>
                <w:sz w:val="28"/>
                <w:szCs w:val="28"/>
                <w:lang w:eastAsia="en-US"/>
              </w:rPr>
              <w:t>инвестиционных</w:t>
            </w:r>
            <w:r w:rsidRPr="00F12CF7">
              <w:rPr>
                <w:rFonts w:eastAsia="Calibri"/>
                <w:spacing w:val="-15"/>
                <w:w w:val="105"/>
                <w:kern w:val="0"/>
                <w:sz w:val="28"/>
                <w:szCs w:val="28"/>
                <w:lang w:eastAsia="en-US"/>
              </w:rPr>
              <w:t xml:space="preserve"> 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проектов, реализуемых и (или) планируемых к реализации на территории Янтиковского муниципального округа</w:t>
            </w:r>
            <w:r w:rsidRPr="00F12CF7">
              <w:rPr>
                <w:rFonts w:eastAsia="Calibri"/>
                <w:spacing w:val="1"/>
                <w:w w:val="105"/>
                <w:kern w:val="0"/>
                <w:sz w:val="28"/>
                <w:szCs w:val="28"/>
                <w:lang w:eastAsia="en-US"/>
              </w:rPr>
              <w:t xml:space="preserve"> Ч</w:t>
            </w:r>
            <w:r w:rsidRPr="00F12CF7">
              <w:rPr>
                <w:rFonts w:eastAsia="Calibri"/>
                <w:w w:val="105"/>
                <w:kern w:val="0"/>
                <w:sz w:val="28"/>
                <w:szCs w:val="28"/>
                <w:lang w:eastAsia="en-US"/>
              </w:rPr>
              <w:t>увашской Республики</w:t>
            </w:r>
          </w:p>
        </w:tc>
        <w:tc>
          <w:tcPr>
            <w:tcW w:w="5097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i/>
                <w:spacing w:val="-1"/>
                <w:w w:val="105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line="240" w:lineRule="auto"/>
        <w:ind w:firstLine="0"/>
        <w:rPr>
          <w:rFonts w:eastAsia="Calibri"/>
          <w:bCs/>
          <w:w w:val="105"/>
          <w:kern w:val="0"/>
          <w:sz w:val="28"/>
          <w:szCs w:val="28"/>
          <w:lang w:eastAsia="en-US"/>
        </w:rPr>
      </w:pPr>
    </w:p>
    <w:p w:rsidR="0033695A" w:rsidRPr="00F12CF7" w:rsidRDefault="0033695A" w:rsidP="00F12CF7">
      <w:pPr>
        <w:tabs>
          <w:tab w:val="left" w:pos="709"/>
        </w:tabs>
        <w:suppressAutoHyphens w:val="0"/>
        <w:spacing w:line="36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F12CF7">
          <w:rPr>
            <w:kern w:val="0"/>
            <w:sz w:val="28"/>
            <w:szCs w:val="28"/>
            <w:lang w:eastAsia="ru-RU"/>
          </w:rPr>
          <w:t>Законом</w:t>
        </w:r>
      </w:hyperlink>
      <w:r w:rsidRPr="00F12CF7">
        <w:rPr>
          <w:kern w:val="0"/>
          <w:sz w:val="28"/>
          <w:szCs w:val="28"/>
          <w:lang w:eastAsia="ru-RU"/>
        </w:rPr>
        <w:t xml:space="preserve"> Чувашской Республики от 25.05.2004 № 8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F12CF7">
        <w:rPr>
          <w:kern w:val="0"/>
          <w:sz w:val="28"/>
          <w:szCs w:val="28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</w:t>
      </w:r>
      <w:r w:rsidR="0033695A">
        <w:rPr>
          <w:kern w:val="0"/>
          <w:sz w:val="28"/>
          <w:szCs w:val="28"/>
          <w:lang w:eastAsia="ru-RU"/>
        </w:rPr>
        <w:t xml:space="preserve">                             </w:t>
      </w:r>
      <w:r w:rsidRPr="00F12CF7">
        <w:rPr>
          <w:kern w:val="0"/>
          <w:sz w:val="28"/>
          <w:szCs w:val="28"/>
          <w:lang w:eastAsia="ru-RU"/>
        </w:rPr>
        <w:t xml:space="preserve">Чувашской Республики, своевременного и качественного </w:t>
      </w:r>
      <w:r w:rsidR="0033695A">
        <w:rPr>
          <w:kern w:val="0"/>
          <w:sz w:val="28"/>
          <w:szCs w:val="28"/>
          <w:lang w:eastAsia="ru-RU"/>
        </w:rPr>
        <w:t xml:space="preserve">                              </w:t>
      </w:r>
      <w:r w:rsidRPr="00F12CF7">
        <w:rPr>
          <w:kern w:val="0"/>
          <w:sz w:val="28"/>
          <w:szCs w:val="28"/>
          <w:lang w:eastAsia="ru-RU"/>
        </w:rPr>
        <w:t xml:space="preserve">исполнения инвесторами обязательств по инвестиционным 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</w:t>
      </w:r>
      <w:r w:rsidRPr="00F12CF7">
        <w:rPr>
          <w:kern w:val="0"/>
          <w:sz w:val="28"/>
          <w:szCs w:val="28"/>
          <w:lang w:eastAsia="ru-RU"/>
        </w:rPr>
        <w:t>проектам администрация Янтиковского муниципального округа</w:t>
      </w:r>
      <w:r w:rsidR="0033695A">
        <w:rPr>
          <w:kern w:val="0"/>
          <w:sz w:val="28"/>
          <w:szCs w:val="28"/>
          <w:lang w:eastAsia="ru-RU"/>
        </w:rPr>
        <w:t xml:space="preserve">          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F12CF7">
        <w:rPr>
          <w:b/>
          <w:kern w:val="0"/>
          <w:sz w:val="28"/>
          <w:szCs w:val="28"/>
          <w:lang w:eastAsia="ru-RU"/>
        </w:rPr>
        <w:t>п</w:t>
      </w:r>
      <w:proofErr w:type="gramEnd"/>
      <w:r w:rsidRPr="00F12CF7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F12CF7">
        <w:rPr>
          <w:kern w:val="0"/>
          <w:sz w:val="28"/>
          <w:szCs w:val="28"/>
          <w:lang w:eastAsia="ru-RU"/>
        </w:rPr>
        <w:t xml:space="preserve">: 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1. Утвердить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(прилагается).</w:t>
      </w:r>
    </w:p>
    <w:p w:rsid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F12CF7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F12CF7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экономики, земельных и имущественных отношений</w:t>
      </w:r>
      <w:r>
        <w:rPr>
          <w:kern w:val="0"/>
          <w:sz w:val="28"/>
          <w:szCs w:val="28"/>
          <w:lang w:eastAsia="ru-RU"/>
        </w:rPr>
        <w:t>.</w:t>
      </w:r>
    </w:p>
    <w:p w:rsidR="00F12CF7" w:rsidRPr="00F12CF7" w:rsidRDefault="00F12CF7" w:rsidP="00F12CF7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lastRenderedPageBreak/>
        <w:t>3. Настоящее постановление вступает в силу со дня его официального опубликования.</w:t>
      </w:r>
    </w:p>
    <w:p w:rsid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567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Глава Янтиковского</w:t>
      </w:r>
    </w:p>
    <w:p w:rsidR="00F12CF7" w:rsidRPr="00F12CF7" w:rsidRDefault="00F12CF7" w:rsidP="00F12CF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12CF7">
        <w:rPr>
          <w:kern w:val="0"/>
          <w:sz w:val="28"/>
          <w:szCs w:val="28"/>
          <w:lang w:eastAsia="ru-RU"/>
        </w:rPr>
        <w:t>муниципально</w:t>
      </w:r>
      <w:r>
        <w:rPr>
          <w:kern w:val="0"/>
          <w:sz w:val="28"/>
          <w:szCs w:val="28"/>
          <w:lang w:eastAsia="ru-RU"/>
        </w:rPr>
        <w:t xml:space="preserve">го округа                                  </w:t>
      </w:r>
      <w:r w:rsidRPr="00F12CF7">
        <w:rPr>
          <w:kern w:val="0"/>
          <w:sz w:val="28"/>
          <w:szCs w:val="28"/>
          <w:lang w:eastAsia="ru-RU"/>
        </w:rPr>
        <w:t xml:space="preserve">                   </w:t>
      </w:r>
      <w:r w:rsidR="00F4322F">
        <w:rPr>
          <w:kern w:val="0"/>
          <w:sz w:val="28"/>
          <w:szCs w:val="28"/>
          <w:lang w:eastAsia="ru-RU"/>
        </w:rPr>
        <w:t xml:space="preserve">  </w:t>
      </w:r>
      <w:r w:rsidRPr="00F12CF7">
        <w:rPr>
          <w:kern w:val="0"/>
          <w:sz w:val="28"/>
          <w:szCs w:val="28"/>
          <w:lang w:eastAsia="ru-RU"/>
        </w:rPr>
        <w:t xml:space="preserve">             О.А. Ломоносов</w:t>
      </w: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Default="00C24B44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8B02F7" w:rsidRDefault="00A01C86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постановлением</w:t>
      </w:r>
      <w:r w:rsidR="008B02F7">
        <w:rPr>
          <w:kern w:val="0"/>
          <w:lang w:eastAsia="ru-RU"/>
        </w:rPr>
        <w:t xml:space="preserve"> администрации</w:t>
      </w:r>
    </w:p>
    <w:p w:rsidR="008B02F7" w:rsidRDefault="008B02F7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Янтиковского муниципального округа</w:t>
      </w:r>
    </w:p>
    <w:p w:rsidR="008B02F7" w:rsidRPr="00F12CF7" w:rsidRDefault="00352C36" w:rsidP="008B02F7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  <w:r>
        <w:rPr>
          <w:kern w:val="0"/>
          <w:lang w:eastAsia="ru-RU"/>
        </w:rPr>
        <w:t>от 24.11</w:t>
      </w:r>
      <w:bookmarkStart w:id="0" w:name="_GoBack"/>
      <w:bookmarkEnd w:id="0"/>
      <w:r>
        <w:rPr>
          <w:kern w:val="0"/>
          <w:lang w:eastAsia="ru-RU"/>
        </w:rPr>
        <w:t>.2023 № 1304</w:t>
      </w:r>
    </w:p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ru-RU"/>
        </w:rPr>
      </w:pP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line="247" w:lineRule="exact"/>
        <w:ind w:right="-1" w:firstLine="567"/>
        <w:jc w:val="center"/>
        <w:outlineLvl w:val="0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Calibri"/>
          <w:b/>
          <w:bCs/>
          <w:spacing w:val="-1"/>
          <w:w w:val="105"/>
          <w:kern w:val="0"/>
          <w:lang w:eastAsia="en-US"/>
        </w:rPr>
        <w:t xml:space="preserve">Регламент сопровождения инвестиционных проектов, реализуемых и (или) </w:t>
      </w: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планируемых к реализации на территории Янтиковского муниципального округа Чувашской Республики</w:t>
      </w:r>
    </w:p>
    <w:p w:rsidR="00F12CF7" w:rsidRPr="00F12CF7" w:rsidRDefault="00F12CF7" w:rsidP="00F12CF7">
      <w:pPr>
        <w:widowControl w:val="0"/>
        <w:suppressAutoHyphens w:val="0"/>
        <w:autoSpaceDE w:val="0"/>
        <w:autoSpaceDN w:val="0"/>
        <w:spacing w:before="5" w:line="240" w:lineRule="auto"/>
        <w:ind w:firstLine="0"/>
        <w:jc w:val="center"/>
        <w:rPr>
          <w:rFonts w:eastAsia="Calibri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F12CF7">
      <w:pPr>
        <w:widowControl w:val="0"/>
        <w:numPr>
          <w:ilvl w:val="0"/>
          <w:numId w:val="17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suppressAutoHyphens w:val="0"/>
        <w:autoSpaceDE w:val="0"/>
        <w:autoSpaceDN w:val="0"/>
        <w:spacing w:after="160" w:line="240" w:lineRule="auto"/>
        <w:ind w:left="0" w:firstLine="3261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Общие положения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1.1. Настоящий Регламент сопровождения инвестиционных проектов, реализуемых и (или) планируемых к реализации на территории Янтиковского муниципального округа Чувашской Республики (далее – Регламент), разработан в соответствии </w:t>
      </w:r>
      <w:hyperlink r:id="rId11" w:history="1">
        <w:r w:rsidRPr="00F12CF7">
          <w:rPr>
            <w:kern w:val="0"/>
            <w:lang w:eastAsia="ru-RU"/>
          </w:rPr>
          <w:t>Законом</w:t>
        </w:r>
      </w:hyperlink>
      <w:r w:rsidRPr="00F12CF7">
        <w:rPr>
          <w:kern w:val="0"/>
          <w:lang w:eastAsia="ru-RU"/>
        </w:rPr>
        <w:t xml:space="preserve"> Чувашской Республики от 25.05.2004 № 8 «О государственной поддержке инвестиционной деятельности в Чувашской Республике» (далее – Закон).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1.2.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 осуществляется по принципу «одного окна».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1.3. Специализированной организацией Чувашской Республики по сопровождению инвестиционных проектов является Автономная некоммерческая организация «Агентство </w:t>
      </w:r>
      <w:proofErr w:type="gramStart"/>
      <w:r w:rsidRPr="00F12CF7">
        <w:rPr>
          <w:kern w:val="0"/>
          <w:lang w:eastAsia="ru-RU"/>
        </w:rPr>
        <w:t>инвестиционного</w:t>
      </w:r>
      <w:proofErr w:type="gramEnd"/>
      <w:r w:rsidRPr="00F12CF7">
        <w:rPr>
          <w:kern w:val="0"/>
          <w:lang w:eastAsia="ru-RU"/>
        </w:rPr>
        <w:t xml:space="preserve"> развития Чувашской Республики» (далее – Специализированная организация).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– субъект инвестиционной деятельности, осуществляющий вложение собственных и привлеченных сре</w:t>
      </w:r>
      <w:proofErr w:type="gramStart"/>
      <w:r w:rsidRPr="00F12CF7">
        <w:rPr>
          <w:kern w:val="0"/>
          <w:lang w:eastAsia="ru-RU"/>
        </w:rPr>
        <w:t>дств в ф</w:t>
      </w:r>
      <w:proofErr w:type="gramEnd"/>
      <w:r w:rsidRPr="00F12CF7">
        <w:rPr>
          <w:kern w:val="0"/>
          <w:lang w:eastAsia="ru-RU"/>
        </w:rPr>
        <w:t>орме инвестиций в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инициатор инвестиционного проекта – физическое или юридическое лицо, предлагающее к реализации инвестиционный проект на территории Янтиковского муниципального округа Чувашской Республики;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субъект инвестиционной деятельности – физические и юридические лица, в том числе иностранные, а также государственные органы, органы местного самоуправления, иностранные государства и международные организации, выступающие в качестве инвесторов, заказчиков, подрядчиков, пользователей объектов капитальных вложений, и другие лица;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проект – 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инвестиционный портал Чувашской Республики – специализированный интернет-сайт об инвестиционной деятельности на территории Чувашской Республики в информационно-коммуникационной сети Интернет: investchr.ru;</w:t>
      </w:r>
    </w:p>
    <w:p w:rsidR="00F12CF7" w:rsidRPr="00F12CF7" w:rsidRDefault="00F12CF7" w:rsidP="008B02F7">
      <w:pPr>
        <w:tabs>
          <w:tab w:val="left" w:pos="851"/>
          <w:tab w:val="left" w:pos="993"/>
          <w:tab w:val="left" w:pos="1276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реестр инвестиционных проектов – перечень инвестиционных проектов, планируемых и (или) реализуемых на территории Чувашской Республики, находящихся на сопровождении Специализированной организации по принципу «одного окна».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widowControl w:val="0"/>
        <w:numPr>
          <w:ilvl w:val="0"/>
          <w:numId w:val="17"/>
        </w:numPr>
        <w:suppressAutoHyphens w:val="0"/>
        <w:autoSpaceDE w:val="0"/>
        <w:autoSpaceDN w:val="0"/>
        <w:spacing w:before="4" w:after="160" w:line="240" w:lineRule="auto"/>
        <w:ind w:firstLine="64"/>
        <w:jc w:val="left"/>
        <w:rPr>
          <w:rFonts w:eastAsia="Arial"/>
          <w:b/>
          <w:bCs/>
          <w:spacing w:val="-1"/>
          <w:w w:val="105"/>
          <w:kern w:val="0"/>
          <w:lang w:eastAsia="en-US"/>
        </w:rPr>
      </w:pPr>
      <w:r w:rsidRPr="00F12CF7">
        <w:rPr>
          <w:rFonts w:eastAsia="Arial"/>
          <w:b/>
          <w:bCs/>
          <w:spacing w:val="-1"/>
          <w:w w:val="105"/>
          <w:kern w:val="0"/>
          <w:lang w:eastAsia="en-US"/>
        </w:rPr>
        <w:t>Формы и цели сопровождения инвестиционных проектов</w:t>
      </w:r>
    </w:p>
    <w:p w:rsidR="00F12CF7" w:rsidRPr="00F12CF7" w:rsidRDefault="00F12CF7" w:rsidP="008B02F7">
      <w:pPr>
        <w:widowControl w:val="0"/>
        <w:suppressAutoHyphens w:val="0"/>
        <w:autoSpaceDE w:val="0"/>
        <w:autoSpaceDN w:val="0"/>
        <w:spacing w:before="4" w:line="240" w:lineRule="auto"/>
        <w:ind w:left="1277"/>
        <w:jc w:val="center"/>
        <w:rPr>
          <w:rFonts w:eastAsia="Arial"/>
          <w:b/>
          <w:bCs/>
          <w:spacing w:val="-1"/>
          <w:w w:val="105"/>
          <w:kern w:val="0"/>
          <w:lang w:eastAsia="en-US"/>
        </w:rPr>
      </w:pPr>
    </w:p>
    <w:p w:rsidR="00F12CF7" w:rsidRPr="00F12CF7" w:rsidRDefault="00F12CF7" w:rsidP="008B02F7">
      <w:pPr>
        <w:tabs>
          <w:tab w:val="left" w:pos="709"/>
          <w:tab w:val="left" w:pos="851"/>
          <w:tab w:val="left" w:pos="1134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2.1. Потенциальный инвестор вправе обратиться в Специализированную организацию по номеру телефона 8(8352)70-96-60, через «Единое окно» для инвесторов, а также через «личный кабинет инвестора» с заявлением о содействии в сопровождении инвестиционного проекта.</w:t>
      </w:r>
    </w:p>
    <w:p w:rsidR="00F12CF7" w:rsidRPr="00F12CF7" w:rsidRDefault="00F12CF7" w:rsidP="008B02F7">
      <w:pPr>
        <w:tabs>
          <w:tab w:val="left" w:pos="851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Официальный адрес размещения «Единого окна», «личного кабинета инвестора» на инвестиционном портале Чувашской Республики – </w:t>
      </w:r>
      <w:hyperlink r:id="rId12" w:history="1">
        <w:r w:rsidRPr="00F12CF7">
          <w:rPr>
            <w:kern w:val="0"/>
            <w:lang w:eastAsia="ru-RU"/>
          </w:rPr>
          <w:t>Инвестиционный портал Чувашской Республики (investchr.ru)</w:t>
        </w:r>
      </w:hyperlink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2.2. Сопровождение инвестиционных проектов, реализуемых и (или) планируемых к реализации на территории Янтиковского муниципального округа Чувашской Республики,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ускоренное рассмотрение вопросов, возникающих в ходе реализации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F12CF7">
        <w:rPr>
          <w:kern w:val="0"/>
          <w:lang w:eastAsia="ru-RU"/>
        </w:rPr>
        <w:t>контроль за</w:t>
      </w:r>
      <w:proofErr w:type="gramEnd"/>
      <w:r w:rsidRPr="00F12CF7">
        <w:rPr>
          <w:kern w:val="0"/>
          <w:lang w:eastAsia="ru-RU"/>
        </w:rPr>
        <w:t xml:space="preserve"> своевременным получением инвестором необходимых согласований и разрешений;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содействие в создании инфраструктуры бизнеса;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подготовку соглашений в инвестиционной сфере в соответствии с законодательством Чувашской Республики.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2.3. В целях сопровождения инвестиционных проектов Специализированная организация на протяжении всего срока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" w:name="Par52"/>
      <w:bookmarkEnd w:id="1"/>
      <w:r w:rsidRPr="00F12CF7">
        <w:rPr>
          <w:kern w:val="0"/>
          <w:lang w:eastAsia="ru-RU"/>
        </w:rPr>
        <w:t>рассматривает обращения инвесторов по вопросам реализации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 Янтиковского муниципального округа Чувашской Республики (за исключением сведений, составляющих государственную и иную охраняемую законом тайну);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взаимодействует по вопросам сопровождения инвестиционных проектов</w:t>
      </w:r>
      <w:r w:rsidRPr="00F12CF7">
        <w:rPr>
          <w:kern w:val="0"/>
          <w:lang w:eastAsia="ru-RU"/>
        </w:rPr>
        <w:br/>
        <w:t xml:space="preserve">с органами исполнительной власти Чувашской Республики, органами местного самоуправления Чувашской Республики, </w:t>
      </w:r>
      <w:proofErr w:type="spellStart"/>
      <w:r w:rsidRPr="00F12CF7">
        <w:rPr>
          <w:kern w:val="0"/>
          <w:lang w:eastAsia="ru-RU"/>
        </w:rPr>
        <w:t>ресурсоснабжающими</w:t>
      </w:r>
      <w:proofErr w:type="spellEnd"/>
      <w:r w:rsidRPr="00F12CF7">
        <w:rPr>
          <w:kern w:val="0"/>
          <w:lang w:eastAsia="ru-RU"/>
        </w:rPr>
        <w:t xml:space="preserve"> организациями, кредитно-финансовыми учреждениями, институтами развития и иными организациями, являющимися субъектами инвестиционной деятельности;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организует проведение переговоров, рабочих встреч с органами исполнительной власти Чувашской Республики и органами местного самоуправления Чувашской Республики для рассмотрения вопросов, связанных с реализацией инвестиционных проектов;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осуществляет содействие в подборе инвестиционной площадки;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оказывает иную поддержку реализации инвестиционных проектов</w:t>
      </w:r>
      <w:r w:rsidRPr="00F12CF7">
        <w:rPr>
          <w:kern w:val="0"/>
          <w:lang w:eastAsia="ru-RU"/>
        </w:rPr>
        <w:br/>
        <w:t>в соответствии с действующим законодательством.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2.5. Специализированная организация может представлять интересы инвестора при взаимодействии со всеми субъектами инвестиционной деятельности.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after="160" w:line="259" w:lineRule="auto"/>
        <w:jc w:val="center"/>
        <w:outlineLvl w:val="1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3. Регламент сопровождения инвестиционных проектов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3.1. Основанием для сопровождения инвестиционного проекта по принципу «одного окна» и включения его в реестр инвестиционных проектов Чувашской Республики, является положительное заключение Специализированной организации по итогам анализа представленных инвестором в Специализированную организацию заявки на сопровождение </w:t>
      </w:r>
      <w:r w:rsidRPr="00F12CF7">
        <w:rPr>
          <w:kern w:val="0"/>
          <w:lang w:eastAsia="ru-RU"/>
        </w:rPr>
        <w:lastRenderedPageBreak/>
        <w:t>инвестиционного проекта и иных документов, необходимых для оценки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:rsidR="00F12CF7" w:rsidRPr="00F12CF7" w:rsidRDefault="00F12CF7" w:rsidP="008B02F7">
      <w:pPr>
        <w:tabs>
          <w:tab w:val="left" w:pos="1134"/>
          <w:tab w:val="left" w:pos="1418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3.2. Сопровождение инвестиционного проекта по принципу «одного окна» отказывается в следующих случаях: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инвестором не заполнена заявка на инвестиционном портале Чувашской Республике либо заявка заполнена не в полном объеме;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по итогам </w:t>
      </w:r>
      <w:proofErr w:type="gramStart"/>
      <w:r w:rsidRPr="00F12CF7">
        <w:rPr>
          <w:kern w:val="0"/>
          <w:lang w:eastAsia="ru-RU"/>
        </w:rPr>
        <w:t>заполненного</w:t>
      </w:r>
      <w:proofErr w:type="gramEnd"/>
      <w:r w:rsidRPr="00F12CF7">
        <w:rPr>
          <w:kern w:val="0"/>
          <w:lang w:eastAsia="ru-RU"/>
        </w:rPr>
        <w:t xml:space="preserve"> чек-листа инвестор набрал менее 40 баллов в соответствии с п. 3.3.;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инвестор находится в стадии банкротства или ликвидации;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 Специализированную организацию поступили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наличие 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3.3. В течение 3 рабочих дней со дня поступления заявки Специализированная организация информирует инвестора о предоставляемых услугах и принимает решение о сопровождении инвестиционного проекта либо об отказе в сопровождении инвестиционного проекта по итогам заполненного </w:t>
      </w:r>
      <w:proofErr w:type="gramStart"/>
      <w:r w:rsidRPr="00F12CF7">
        <w:rPr>
          <w:kern w:val="0"/>
          <w:lang w:eastAsia="ru-RU"/>
        </w:rPr>
        <w:t>чек-листа</w:t>
      </w:r>
      <w:proofErr w:type="gramEnd"/>
      <w:r w:rsidRPr="00F12CF7">
        <w:rPr>
          <w:kern w:val="0"/>
          <w:lang w:eastAsia="ru-RU"/>
        </w:rPr>
        <w:t xml:space="preserve"> (приложение № 1 к Регламенту).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При положительном решении о сопровождении инвестиционного проекта итоговая сумма баллов должна составлять не менее 40 баллов из максимального допустимого количества баллов – 63.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 принятом решении Специализированная организация извещает инвестора в течение 1 рабочего дня со дня принятия такого решения через «личный кабинет инвестора».</w:t>
      </w:r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3.4. </w:t>
      </w:r>
      <w:proofErr w:type="gramStart"/>
      <w:r w:rsidRPr="00F12CF7">
        <w:rPr>
          <w:kern w:val="0"/>
          <w:lang w:eastAsia="ru-RU"/>
        </w:rPr>
        <w:t xml:space="preserve">В случае принятия Специализированной организацией решения о сопровождении инвестиционного проекта в течение 2 рабочих дней назначается ответственное лицо (менеджер) и через «личный кабинет инвестора» направляет проект соглашения о намерениях при реализации инвестиционного проекта на территории Янтиковского муниципального округа Чувашской Республики, а также разработанную совместно с потенциальным инвестором дорожную карту по реализации инвестиционного проекта (приложение № 2 к Регламенту). </w:t>
      </w:r>
      <w:proofErr w:type="gramEnd"/>
    </w:p>
    <w:p w:rsidR="00F12CF7" w:rsidRPr="00F12CF7" w:rsidRDefault="00F12CF7" w:rsidP="008B02F7">
      <w:pPr>
        <w:tabs>
          <w:tab w:val="left" w:pos="851"/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3.5. Специализированная организация при необходимости проводит предварительные переговоры с инвестором, инициатором инвестиционного проекта по вопросам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3.6. В случае отсутствия у инвестора бизнес-плана, финансовой модели и иных относящихся к реализации инвестиционного проекта документов, Специализированная организация может оказать консультационную поддержку по вопросам их разработки.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3.7.</w:t>
      </w:r>
      <w:r w:rsidRPr="00F12CF7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F12CF7">
        <w:rPr>
          <w:kern w:val="0"/>
          <w:lang w:eastAsia="ru-RU"/>
        </w:rPr>
        <w:t xml:space="preserve">Сопровождение инвестиционных проектов, реализация которых предусмотрена в рамках заключенных соглашений о намерениях при реализации инвестиционных проектов на территории Янтиковского муниципального округа Чувашской Республики, а также подбор инвестиционных площадок для реализации инвестиционного проекта осуществляется Специализированной организацией на безвозмездной основе.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Перечень платных услуг, предоставляемых Специализированной организацией, утверждается приказом исполнительного директора Специализированной организацией.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273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Мониторинг реализации инвестиционных проектов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b/>
          <w:bCs/>
          <w:kern w:val="0"/>
          <w:lang w:eastAsia="ru-RU"/>
        </w:rPr>
      </w:pP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lastRenderedPageBreak/>
        <w:t>4.1. Специализированная организация в целях мониторинга реализации инвестиционных проектов: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реестр инвестиционных проектов, находящихся на сопровождении по принципу «одного окна» и по согласованию с инвесторами размещает сведения об инвестиционных проектах на Инвестиционном портале Чувашской Республики;</w:t>
      </w:r>
    </w:p>
    <w:p w:rsidR="00F12CF7" w:rsidRPr="00F12CF7" w:rsidRDefault="00F12CF7" w:rsidP="008B02F7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4.2.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 направляет сведения в адрес Специализированной организации о ходе реализации инвестиционного проекта по форме согласно приложению № 3 к Регламенту.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4.3. </w:t>
      </w:r>
      <w:proofErr w:type="gramStart"/>
      <w:r w:rsidRPr="00F12CF7">
        <w:rPr>
          <w:kern w:val="0"/>
          <w:lang w:eastAsia="ru-RU"/>
        </w:rPr>
        <w:t>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Специализированный организацию.</w:t>
      </w:r>
      <w:proofErr w:type="gramEnd"/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0"/>
          <w:numId w:val="18"/>
        </w:numPr>
        <w:suppressAutoHyphens w:val="0"/>
        <w:spacing w:after="160" w:line="240" w:lineRule="auto"/>
        <w:ind w:firstLine="709"/>
        <w:jc w:val="left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Прекращение сопровождения инвестиционного проекта</w:t>
      </w:r>
    </w:p>
    <w:p w:rsidR="00F12CF7" w:rsidRPr="00F12CF7" w:rsidRDefault="00F12CF7" w:rsidP="008B02F7">
      <w:pPr>
        <w:suppressAutoHyphens w:val="0"/>
        <w:spacing w:line="240" w:lineRule="auto"/>
        <w:ind w:left="360"/>
        <w:jc w:val="center"/>
        <w:rPr>
          <w:kern w:val="0"/>
          <w:lang w:eastAsia="ru-RU"/>
        </w:rPr>
      </w:pPr>
    </w:p>
    <w:p w:rsidR="00F12CF7" w:rsidRPr="00F12CF7" w:rsidRDefault="00F12CF7" w:rsidP="008B02F7">
      <w:pPr>
        <w:numPr>
          <w:ilvl w:val="1"/>
          <w:numId w:val="18"/>
        </w:numPr>
        <w:tabs>
          <w:tab w:val="left" w:pos="993"/>
        </w:tabs>
        <w:suppressAutoHyphens w:val="0"/>
        <w:spacing w:after="160" w:line="240" w:lineRule="auto"/>
        <w:ind w:left="0" w:firstLine="709"/>
        <w:jc w:val="left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Сопровождение инвестиционного проекта прекращается в следующих случаях: </w:t>
      </w:r>
    </w:p>
    <w:p w:rsidR="00F12CF7" w:rsidRPr="00F12CF7" w:rsidRDefault="00F12CF7" w:rsidP="008B02F7">
      <w:pPr>
        <w:tabs>
          <w:tab w:val="left" w:pos="993"/>
        </w:tabs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освоения капитальных вложений по инвестиционному проекту в полном объеме;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ведения в отношении инвестора процедуры банкротства; 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 xml:space="preserve">нахождения инвестора в стадии ликвидации; </w:t>
      </w:r>
    </w:p>
    <w:p w:rsidR="00F12CF7" w:rsidRPr="00F12CF7" w:rsidRDefault="00F12CF7" w:rsidP="008B02F7">
      <w:pPr>
        <w:suppressAutoHyphens w:val="0"/>
        <w:spacing w:after="160" w:line="259" w:lineRule="auto"/>
        <w:rPr>
          <w:kern w:val="0"/>
          <w:lang w:eastAsia="ru-RU"/>
        </w:rPr>
      </w:pPr>
      <w:r w:rsidRPr="00F12CF7">
        <w:rPr>
          <w:kern w:val="0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:rsidR="00F12CF7" w:rsidRPr="00F12CF7" w:rsidRDefault="00F12CF7" w:rsidP="008B02F7">
      <w:pPr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tabs>
          <w:tab w:val="left" w:pos="3206"/>
        </w:tabs>
        <w:suppressAutoHyphens w:val="0"/>
        <w:spacing w:line="240" w:lineRule="auto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jc w:val="left"/>
        <w:rPr>
          <w:kern w:val="0"/>
          <w:lang w:eastAsia="ru-RU"/>
        </w:rPr>
      </w:pPr>
    </w:p>
    <w:p w:rsid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tbl>
      <w:tblPr>
        <w:tblpPr w:leftFromText="180" w:rightFromText="180" w:vertAnchor="page" w:horzAnchor="margin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378"/>
      </w:tblGrid>
      <w:tr w:rsidR="008B02F7" w:rsidRPr="00F12CF7" w:rsidTr="008B02F7">
        <w:trPr>
          <w:trHeight w:val="552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lastRenderedPageBreak/>
              <w:t>Приложение № 1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Чек-лист проекта_______________________</w:t>
            </w:r>
          </w:p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left="-110" w:firstLine="11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Балл</w:t>
            </w:r>
          </w:p>
        </w:tc>
        <w:tc>
          <w:tcPr>
            <w:tcW w:w="1378" w:type="dxa"/>
            <w:tcBorders>
              <w:top w:val="nil"/>
            </w:tcBorders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Отметка </w:t>
            </w: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F12CF7">
              <w:rPr>
                <w:kern w:val="0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  <w:proofErr w:type="gramEnd"/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Финансирование (собственное и привлеченное) на 100% подтверждено выпиской со счетов, справкой об оборотах, годовой отчетностью. </w:t>
            </w:r>
            <w:proofErr w:type="gramStart"/>
            <w:r w:rsidRPr="00F12CF7">
              <w:rPr>
                <w:kern w:val="0"/>
                <w:lang w:eastAsia="ru-RU"/>
              </w:rPr>
              <w:t>Заемное</w:t>
            </w:r>
            <w:proofErr w:type="gramEnd"/>
            <w:r w:rsidRPr="00F12CF7">
              <w:rPr>
                <w:kern w:val="0"/>
                <w:lang w:eastAsia="ru-RU"/>
              </w:rPr>
              <w:t xml:space="preserve"> – кредитным договором, письмом из банка и т.п.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2.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Отсутствие рисков реализации проекта, связанных с инициатором проекта и группой компаний, учредителями, в </w:t>
            </w:r>
            <w:proofErr w:type="spellStart"/>
            <w:r w:rsidRPr="00F12CF7">
              <w:rPr>
                <w:kern w:val="0"/>
                <w:lang w:eastAsia="ru-RU"/>
              </w:rPr>
              <w:t>т.ч</w:t>
            </w:r>
            <w:proofErr w:type="spellEnd"/>
            <w:r w:rsidRPr="00F12CF7">
              <w:rPr>
                <w:kern w:val="0"/>
                <w:lang w:eastAsia="ru-RU"/>
              </w:rPr>
              <w:t>. рисков, связанных с деловой репутацией, правовых и т.д.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Степень </w:t>
            </w:r>
            <w:proofErr w:type="spellStart"/>
            <w:r w:rsidRPr="00F12CF7">
              <w:rPr>
                <w:kern w:val="0"/>
                <w:lang w:eastAsia="ru-RU"/>
              </w:rPr>
              <w:t>экологичности</w:t>
            </w:r>
            <w:proofErr w:type="spellEnd"/>
            <w:r w:rsidRPr="00F12CF7">
              <w:rPr>
                <w:kern w:val="0"/>
                <w:lang w:eastAsia="ru-RU"/>
              </w:rPr>
              <w:t xml:space="preserve"> производства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 отходов производства</w:t>
            </w:r>
            <w:r w:rsidRPr="00F12CF7">
              <w:rPr>
                <w:kern w:val="0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4.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Значимость проекта для региона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Соответствие стратегии социально-экономического развития</w:t>
            </w:r>
            <w:r w:rsidRPr="00F12CF7">
              <w:rPr>
                <w:kern w:val="0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6.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Наличие </w:t>
            </w:r>
            <w:proofErr w:type="gramStart"/>
            <w:r w:rsidRPr="00F12CF7">
              <w:rPr>
                <w:kern w:val="0"/>
                <w:lang w:eastAsia="ru-RU"/>
              </w:rPr>
              <w:t>проработанной маркетинговой стратегии, содержащей анализ рынка сбыта</w:t>
            </w:r>
            <w:proofErr w:type="gramEnd"/>
            <w:r w:rsidRPr="00F12CF7">
              <w:rPr>
                <w:kern w:val="0"/>
                <w:lang w:eastAsia="ru-RU"/>
              </w:rPr>
              <w:t>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7.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Наличие необходимой для обеспечения деятельности заявителя, предусмотренной </w:t>
            </w:r>
            <w:r w:rsidRPr="00F12CF7">
              <w:rPr>
                <w:kern w:val="0"/>
                <w:lang w:eastAsia="ru-RU"/>
              </w:rPr>
              <w:lastRenderedPageBreak/>
              <w:t>бизнес-планом проекта, площадки для реализации проекта, а также инженерной, коммунальной, транспортной и иной инфраструктуры с учетом существующей загрузки мощностей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находится в распоряжении инициатора проекта,</w:t>
            </w:r>
            <w:r w:rsidRPr="00F12CF7">
              <w:rPr>
                <w:kern w:val="0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F12CF7">
              <w:rPr>
                <w:kern w:val="0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F12CF7">
              <w:rPr>
                <w:kern w:val="0"/>
                <w:lang w:eastAsia="ru-RU"/>
              </w:rPr>
              <w:br/>
              <w:t>для реализации проекта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5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Отсутствие кадров с профессиональными знаниями</w:t>
            </w:r>
            <w:r w:rsidRPr="00F12CF7">
              <w:rPr>
                <w:kern w:val="0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 w:val="restart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right="-117"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9.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</w:t>
            </w: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Создание рабочих мест,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8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562" w:type="dxa"/>
            <w:vMerge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B02F7" w:rsidRPr="00F12CF7" w:rsidTr="008B02F7">
        <w:tc>
          <w:tcPr>
            <w:tcW w:w="7371" w:type="dxa"/>
            <w:gridSpan w:val="2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378" w:type="dxa"/>
            <w:shd w:val="clear" w:color="auto" w:fill="auto"/>
          </w:tcPr>
          <w:p w:rsidR="008B02F7" w:rsidRPr="00F12CF7" w:rsidRDefault="008B02F7" w:rsidP="00C8385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8B02F7" w:rsidRDefault="008B02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8B02F7">
      <w:pPr>
        <w:suppressAutoHyphens w:val="0"/>
        <w:spacing w:after="160" w:line="259" w:lineRule="auto"/>
        <w:ind w:right="-143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lastRenderedPageBreak/>
        <w:t>Приложение № 2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ДОРОЖНАЯ КАРТА</w:t>
      </w:r>
    </w:p>
    <w:p w:rsidR="00F12CF7" w:rsidRPr="00F12CF7" w:rsidRDefault="00F12CF7" w:rsidP="00F12CF7">
      <w:pPr>
        <w:tabs>
          <w:tab w:val="left" w:pos="2968"/>
        </w:tabs>
        <w:suppressAutoHyphens w:val="0"/>
        <w:spacing w:after="160" w:line="259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 xml:space="preserve"> по реализации инвестиционного проекта «__________________»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Результат работ</w:t>
            </w: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F12CF7" w:rsidRPr="00F12CF7" w:rsidTr="00C8385B">
        <w:tc>
          <w:tcPr>
            <w:tcW w:w="55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…</w:t>
            </w:r>
          </w:p>
        </w:tc>
        <w:tc>
          <w:tcPr>
            <w:tcW w:w="3407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775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53" w:type="dxa"/>
          </w:tcPr>
          <w:p w:rsidR="00F12CF7" w:rsidRPr="00F12CF7" w:rsidRDefault="00F12CF7" w:rsidP="00F12CF7">
            <w:pPr>
              <w:tabs>
                <w:tab w:val="left" w:pos="1340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  <w:r w:rsidRPr="00F12CF7">
        <w:rPr>
          <w:kern w:val="0"/>
          <w:lang w:eastAsia="ru-RU"/>
        </w:rPr>
        <w:lastRenderedPageBreak/>
        <w:t>Приложение № 3</w:t>
      </w:r>
    </w:p>
    <w:p w:rsidR="00F12CF7" w:rsidRPr="00F12CF7" w:rsidRDefault="00F12CF7" w:rsidP="00F12CF7">
      <w:pPr>
        <w:suppressAutoHyphens w:val="0"/>
        <w:spacing w:after="160" w:line="259" w:lineRule="auto"/>
        <w:jc w:val="right"/>
        <w:rPr>
          <w:kern w:val="0"/>
          <w:lang w:eastAsia="ru-RU"/>
        </w:rPr>
      </w:pP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Информация</w:t>
      </w:r>
    </w:p>
    <w:p w:rsidR="00F12CF7" w:rsidRPr="00F12CF7" w:rsidRDefault="00F12CF7" w:rsidP="00F12CF7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F12CF7">
        <w:rPr>
          <w:b/>
          <w:bCs/>
          <w:kern w:val="0"/>
          <w:lang w:eastAsia="ru-RU"/>
        </w:rPr>
        <w:t>о ходе реализации инвестиционного проекта «___________________»</w:t>
      </w:r>
    </w:p>
    <w:p w:rsidR="00F12CF7" w:rsidRPr="00F12CF7" w:rsidRDefault="00F12CF7" w:rsidP="00F12CF7">
      <w:pPr>
        <w:tabs>
          <w:tab w:val="left" w:pos="1340"/>
        </w:tabs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tbl>
      <w:tblPr>
        <w:tblStyle w:val="34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3176"/>
        <w:gridCol w:w="1644"/>
        <w:gridCol w:w="1984"/>
        <w:gridCol w:w="2381"/>
      </w:tblGrid>
      <w:tr w:rsidR="00F12CF7" w:rsidRPr="00F12CF7" w:rsidTr="008B02F7">
        <w:trPr>
          <w:trHeight w:val="470"/>
        </w:trPr>
        <w:tc>
          <w:tcPr>
            <w:tcW w:w="454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6009" w:type="dxa"/>
            <w:gridSpan w:val="3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Ежеквартально</w:t>
            </w:r>
          </w:p>
        </w:tc>
      </w:tr>
      <w:tr w:rsidR="00F12CF7" w:rsidRPr="00F12CF7" w:rsidTr="008B02F7">
        <w:trPr>
          <w:trHeight w:val="288"/>
        </w:trPr>
        <w:tc>
          <w:tcPr>
            <w:tcW w:w="454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176" w:type="dxa"/>
            <w:vMerge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Кол-во созданных рабочих мест, ед.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F12CF7" w:rsidRPr="00F12CF7" w:rsidTr="008B02F7">
        <w:tc>
          <w:tcPr>
            <w:tcW w:w="45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F12CF7">
              <w:rPr>
                <w:kern w:val="0"/>
                <w:lang w:eastAsia="ru-RU"/>
              </w:rPr>
              <w:t>1.</w:t>
            </w:r>
          </w:p>
        </w:tc>
        <w:tc>
          <w:tcPr>
            <w:tcW w:w="3176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64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1984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381" w:type="dxa"/>
          </w:tcPr>
          <w:p w:rsidR="00F12CF7" w:rsidRPr="00F12CF7" w:rsidRDefault="00F12CF7" w:rsidP="00F12CF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F12CF7" w:rsidRPr="00F12CF7" w:rsidRDefault="00F12CF7" w:rsidP="00F12CF7">
      <w:pPr>
        <w:suppressAutoHyphens w:val="0"/>
        <w:spacing w:after="160" w:line="259" w:lineRule="auto"/>
        <w:ind w:firstLine="0"/>
        <w:jc w:val="left"/>
        <w:rPr>
          <w:kern w:val="0"/>
          <w:lang w:eastAsia="ru-RU"/>
        </w:rPr>
      </w:pPr>
    </w:p>
    <w:p w:rsidR="00351857" w:rsidRPr="00F12CF7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F12CF7" w:rsidSect="00F12C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3695A"/>
    <w:rsid w:val="00340920"/>
    <w:rsid w:val="00345E3E"/>
    <w:rsid w:val="003460CE"/>
    <w:rsid w:val="00347BCC"/>
    <w:rsid w:val="00351857"/>
    <w:rsid w:val="00352C36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4053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2F7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1C86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4B44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2CF7"/>
    <w:rsid w:val="00F202B2"/>
    <w:rsid w:val="00F26DEF"/>
    <w:rsid w:val="00F37CFA"/>
    <w:rsid w:val="00F422FB"/>
    <w:rsid w:val="00F4322F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F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F1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vestch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3517&amp;dst=100373&amp;field=134&amp;date=29.07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15A4-CF10-4538-8E4F-68D8146E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2023-11-27T10:21:00Z</cp:lastPrinted>
  <dcterms:created xsi:type="dcterms:W3CDTF">2023-01-09T05:07:00Z</dcterms:created>
  <dcterms:modified xsi:type="dcterms:W3CDTF">2023-11-29T11:32:00Z</dcterms:modified>
</cp:coreProperties>
</file>