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E8667F" w:rsidRDefault="008B7B67" w:rsidP="008B7B67">
      <w:pPr>
        <w:pStyle w:val="8"/>
        <w:ind w:firstLine="709"/>
        <w:jc w:val="both"/>
        <w:rPr>
          <w:rFonts w:ascii="Arial" w:hAnsi="Arial" w:cs="Arial"/>
          <w:bCs w:val="0"/>
          <w:sz w:val="32"/>
          <w:szCs w:val="32"/>
        </w:rPr>
      </w:pPr>
      <w:r w:rsidRPr="00E8667F">
        <w:rPr>
          <w:noProof/>
          <w:color w:val="002060"/>
          <w:sz w:val="32"/>
          <w:szCs w:val="32"/>
        </w:rPr>
        <mc:AlternateContent>
          <mc:Choice Requires="wpg">
            <w:drawing>
              <wp:anchor distT="0" distB="0" distL="114300" distR="114300" simplePos="0" relativeHeight="251661312" behindDoc="0" locked="0" layoutInCell="1" allowOverlap="1" wp14:anchorId="34605648" wp14:editId="6EDAE344">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725883" w:rsidRPr="00E8667F">
        <w:rPr>
          <w:rFonts w:ascii="Arial" w:hAnsi="Arial" w:cs="Arial"/>
          <w:color w:val="002060"/>
          <w:sz w:val="32"/>
          <w:szCs w:val="32"/>
        </w:rPr>
        <w:t>6</w:t>
      </w:r>
      <w:r w:rsidR="00656206" w:rsidRPr="00E8667F">
        <w:rPr>
          <w:rFonts w:ascii="Arial" w:hAnsi="Arial" w:cs="Arial"/>
          <w:color w:val="002060"/>
          <w:sz w:val="32"/>
          <w:szCs w:val="32"/>
        </w:rPr>
        <w:t xml:space="preserve">. </w:t>
      </w:r>
      <w:r w:rsidR="008B0F0B" w:rsidRPr="00E8667F">
        <w:rPr>
          <w:rFonts w:ascii="Arial" w:hAnsi="Arial" w:cs="Arial"/>
          <w:color w:val="002060"/>
          <w:sz w:val="32"/>
          <w:szCs w:val="32"/>
        </w:rPr>
        <w:t>Потребительский рынок</w:t>
      </w:r>
    </w:p>
    <w:p w:rsidR="008B7B67" w:rsidRPr="00E8667F" w:rsidRDefault="008B7B67" w:rsidP="00E85EB6">
      <w:pPr>
        <w:ind w:firstLine="708"/>
        <w:jc w:val="both"/>
        <w:rPr>
          <w:rFonts w:ascii="Arial" w:hAnsi="Arial" w:cs="Arial"/>
          <w:bCs/>
        </w:rPr>
      </w:pPr>
    </w:p>
    <w:p w:rsidR="008B7B67" w:rsidRPr="00E8667F" w:rsidRDefault="008B7B67" w:rsidP="00E85EB6">
      <w:pPr>
        <w:ind w:firstLine="708"/>
        <w:jc w:val="both"/>
        <w:rPr>
          <w:rFonts w:ascii="Arial" w:hAnsi="Arial" w:cs="Arial"/>
          <w:bCs/>
        </w:rPr>
      </w:pPr>
    </w:p>
    <w:p w:rsidR="00AC3227" w:rsidRPr="007F0A8F" w:rsidRDefault="00AF3CF3" w:rsidP="00493B16">
      <w:pPr>
        <w:ind w:firstLine="709"/>
        <w:contextualSpacing/>
        <w:jc w:val="both"/>
        <w:rPr>
          <w:rFonts w:ascii="Arial" w:hAnsi="Arial" w:cs="Arial"/>
          <w:color w:val="000000"/>
        </w:rPr>
      </w:pPr>
      <w:r w:rsidRPr="007F0A8F">
        <w:rPr>
          <w:rFonts w:ascii="Arial" w:hAnsi="Arial" w:cs="Arial"/>
          <w:color w:val="000000"/>
        </w:rPr>
        <w:t>В Чувашской Республике насчитывается более 6,</w:t>
      </w:r>
      <w:r w:rsidR="0076773E" w:rsidRPr="007F0A8F">
        <w:rPr>
          <w:rFonts w:ascii="Arial" w:hAnsi="Arial" w:cs="Arial"/>
          <w:color w:val="000000"/>
        </w:rPr>
        <w:t>4</w:t>
      </w:r>
      <w:r w:rsidRPr="007F0A8F">
        <w:rPr>
          <w:rFonts w:ascii="Arial" w:hAnsi="Arial" w:cs="Arial"/>
          <w:color w:val="000000"/>
        </w:rPr>
        <w:t xml:space="preserve"> тыс. объектов розничной торговли, </w:t>
      </w:r>
      <w:r w:rsidR="0076773E" w:rsidRPr="007F0A8F">
        <w:rPr>
          <w:rFonts w:ascii="Arial" w:hAnsi="Arial" w:cs="Arial"/>
          <w:color w:val="000000"/>
        </w:rPr>
        <w:t>977</w:t>
      </w:r>
      <w:r w:rsidRPr="007F0A8F">
        <w:rPr>
          <w:rFonts w:ascii="Arial" w:hAnsi="Arial" w:cs="Arial"/>
          <w:color w:val="000000"/>
        </w:rPr>
        <w:t xml:space="preserve"> объектов общественного питания и 2,3 тыс. объектов бытового о</w:t>
      </w:r>
      <w:r w:rsidRPr="007F0A8F">
        <w:rPr>
          <w:rFonts w:ascii="Arial" w:hAnsi="Arial" w:cs="Arial"/>
          <w:color w:val="000000"/>
        </w:rPr>
        <w:t>б</w:t>
      </w:r>
      <w:r w:rsidRPr="007F0A8F">
        <w:rPr>
          <w:rFonts w:ascii="Arial" w:hAnsi="Arial" w:cs="Arial"/>
          <w:color w:val="000000"/>
        </w:rPr>
        <w:t>служивания.</w:t>
      </w:r>
    </w:p>
    <w:p w:rsidR="00082EE0" w:rsidRPr="007F0A8F" w:rsidRDefault="00493B16" w:rsidP="00082EE0">
      <w:pPr>
        <w:ind w:firstLine="709"/>
        <w:contextualSpacing/>
        <w:jc w:val="both"/>
        <w:rPr>
          <w:rFonts w:ascii="Arial" w:hAnsi="Arial" w:cs="Arial"/>
          <w:color w:val="000000"/>
        </w:rPr>
      </w:pPr>
      <w:r w:rsidRPr="007F0A8F">
        <w:rPr>
          <w:rFonts w:ascii="Arial" w:hAnsi="Arial" w:cs="Arial"/>
          <w:bCs/>
        </w:rPr>
        <w:t xml:space="preserve">Динамика </w:t>
      </w:r>
      <w:r w:rsidRPr="007F0A8F">
        <w:rPr>
          <w:rFonts w:ascii="Arial" w:hAnsi="Arial" w:cs="Arial"/>
          <w:color w:val="000000"/>
        </w:rPr>
        <w:t xml:space="preserve">показателей развития торговли и сферы платных услуг </w:t>
      </w:r>
      <w:r w:rsidRPr="007F0A8F">
        <w:rPr>
          <w:rFonts w:ascii="Arial" w:hAnsi="Arial" w:cs="Arial"/>
          <w:bCs/>
        </w:rPr>
        <w:t>Чува</w:t>
      </w:r>
      <w:r w:rsidRPr="007F0A8F">
        <w:rPr>
          <w:rFonts w:ascii="Arial" w:hAnsi="Arial" w:cs="Arial"/>
          <w:bCs/>
        </w:rPr>
        <w:t>ш</w:t>
      </w:r>
      <w:r w:rsidRPr="007F0A8F">
        <w:rPr>
          <w:rFonts w:ascii="Arial" w:hAnsi="Arial" w:cs="Arial"/>
          <w:bCs/>
        </w:rPr>
        <w:t xml:space="preserve">ской Республики </w:t>
      </w:r>
      <w:r w:rsidR="00A5791B" w:rsidRPr="007F0A8F">
        <w:rPr>
          <w:rFonts w:ascii="Arial" w:hAnsi="Arial" w:cs="Arial"/>
          <w:bCs/>
        </w:rPr>
        <w:t>за 9 месяцев</w:t>
      </w:r>
      <w:r w:rsidRPr="007F0A8F">
        <w:rPr>
          <w:rFonts w:ascii="Arial" w:hAnsi="Arial" w:cs="Arial"/>
          <w:bCs/>
        </w:rPr>
        <w:t xml:space="preserve"> 202</w:t>
      </w:r>
      <w:r w:rsidR="0076773E" w:rsidRPr="007F0A8F">
        <w:rPr>
          <w:rFonts w:ascii="Arial" w:hAnsi="Arial" w:cs="Arial"/>
          <w:bCs/>
        </w:rPr>
        <w:t>3</w:t>
      </w:r>
      <w:r w:rsidRPr="007F0A8F">
        <w:rPr>
          <w:rFonts w:ascii="Arial" w:hAnsi="Arial" w:cs="Arial"/>
          <w:bCs/>
        </w:rPr>
        <w:t xml:space="preserve"> г. отвечает сложившимся общероссийским трендам.</w:t>
      </w:r>
      <w:r w:rsidR="00082EE0" w:rsidRPr="007F0A8F">
        <w:rPr>
          <w:rFonts w:ascii="Arial" w:hAnsi="Arial" w:cs="Arial"/>
          <w:bCs/>
        </w:rPr>
        <w:t xml:space="preserve"> </w:t>
      </w:r>
    </w:p>
    <w:p w:rsidR="0076773E" w:rsidRPr="007F0A8F" w:rsidRDefault="0076773E" w:rsidP="005F0A71">
      <w:pPr>
        <w:ind w:firstLine="709"/>
        <w:contextualSpacing/>
        <w:jc w:val="both"/>
        <w:rPr>
          <w:rFonts w:ascii="Arial" w:hAnsi="Arial" w:cs="Arial"/>
          <w:snapToGrid w:val="0"/>
        </w:rPr>
      </w:pPr>
      <w:r w:rsidRPr="007F0A8F">
        <w:rPr>
          <w:rFonts w:ascii="Arial" w:hAnsi="Arial" w:cs="Arial"/>
          <w:color w:val="000000"/>
        </w:rPr>
        <w:t xml:space="preserve">Оборот розничной торговли в Чувашии за январь-сентябрь 2023 г. составил  179,6 млрд. рублей, что на 6,7% больше уровня января-сентября 2022 </w:t>
      </w:r>
      <w:r w:rsidRPr="007F0A8F">
        <w:rPr>
          <w:rFonts w:ascii="Arial" w:hAnsi="Arial" w:cs="Arial"/>
        </w:rPr>
        <w:t>года</w:t>
      </w:r>
      <w:r w:rsidRPr="007F0A8F">
        <w:rPr>
          <w:rFonts w:ascii="Arial" w:hAnsi="Arial" w:cs="Arial"/>
          <w:snapToGrid w:val="0"/>
        </w:rPr>
        <w:t xml:space="preserve"> (</w:t>
      </w:r>
      <w:r w:rsidRPr="007F0A8F">
        <w:rPr>
          <w:rFonts w:ascii="Arial" w:hAnsi="Arial" w:cs="Arial"/>
          <w:bCs/>
        </w:rPr>
        <w:t>за 9 месяцев</w:t>
      </w:r>
      <w:r w:rsidRPr="007F0A8F">
        <w:rPr>
          <w:rFonts w:ascii="Arial" w:hAnsi="Arial" w:cs="Arial"/>
          <w:bCs/>
          <w:iCs/>
        </w:rPr>
        <w:t xml:space="preserve"> 2022 г. – 16</w:t>
      </w:r>
      <w:r w:rsidR="00302A5D" w:rsidRPr="007F0A8F">
        <w:rPr>
          <w:rFonts w:ascii="Arial" w:hAnsi="Arial" w:cs="Arial"/>
          <w:bCs/>
          <w:iCs/>
        </w:rPr>
        <w:t>2,6</w:t>
      </w:r>
      <w:r w:rsidRPr="007F0A8F">
        <w:rPr>
          <w:rFonts w:ascii="Arial" w:hAnsi="Arial" w:cs="Arial"/>
          <w:bCs/>
          <w:iCs/>
        </w:rPr>
        <w:t xml:space="preserve"> млрд. рублей или </w:t>
      </w:r>
      <w:r w:rsidR="00302A5D" w:rsidRPr="007F0A8F">
        <w:rPr>
          <w:rFonts w:ascii="Arial" w:hAnsi="Arial" w:cs="Arial"/>
          <w:bCs/>
          <w:iCs/>
        </w:rPr>
        <w:t>94,2</w:t>
      </w:r>
      <w:r w:rsidRPr="007F0A8F">
        <w:rPr>
          <w:rFonts w:ascii="Arial" w:hAnsi="Arial" w:cs="Arial"/>
          <w:bCs/>
          <w:iCs/>
        </w:rPr>
        <w:t>% соответственно)</w:t>
      </w:r>
      <w:r w:rsidRPr="007F0A8F">
        <w:rPr>
          <w:rFonts w:ascii="Arial" w:hAnsi="Arial" w:cs="Arial"/>
          <w:snapToGrid w:val="0"/>
        </w:rPr>
        <w:t>.</w:t>
      </w:r>
    </w:p>
    <w:p w:rsidR="005F0A71" w:rsidRPr="00E8667F" w:rsidRDefault="005F0A71" w:rsidP="005F0A71">
      <w:pPr>
        <w:ind w:firstLine="709"/>
        <w:contextualSpacing/>
        <w:jc w:val="both"/>
        <w:rPr>
          <w:rFonts w:ascii="Arial" w:hAnsi="Arial" w:cs="Arial"/>
          <w:color w:val="000000"/>
        </w:rPr>
      </w:pPr>
      <w:r w:rsidRPr="007F0A8F">
        <w:rPr>
          <w:rFonts w:ascii="Arial" w:hAnsi="Arial" w:cs="Arial"/>
          <w:color w:val="000000"/>
        </w:rPr>
        <w:t>Среди регионов ПФО по темпу роста показателя в январе-сентябре 202</w:t>
      </w:r>
      <w:r w:rsidR="0076773E" w:rsidRPr="007F0A8F">
        <w:rPr>
          <w:rFonts w:ascii="Arial" w:hAnsi="Arial" w:cs="Arial"/>
          <w:color w:val="000000"/>
        </w:rPr>
        <w:t>3</w:t>
      </w:r>
      <w:r w:rsidRPr="007F0A8F">
        <w:rPr>
          <w:rFonts w:ascii="Arial" w:hAnsi="Arial" w:cs="Arial"/>
          <w:color w:val="000000"/>
        </w:rPr>
        <w:t xml:space="preserve"> г. Чувашия заняла </w:t>
      </w:r>
      <w:r w:rsidR="0076773E" w:rsidRPr="007F0A8F">
        <w:rPr>
          <w:rFonts w:ascii="Arial" w:hAnsi="Arial" w:cs="Arial"/>
          <w:color w:val="000000"/>
        </w:rPr>
        <w:t>8</w:t>
      </w:r>
      <w:r w:rsidRPr="007F0A8F">
        <w:rPr>
          <w:rFonts w:ascii="Arial" w:hAnsi="Arial" w:cs="Arial"/>
          <w:color w:val="000000"/>
        </w:rPr>
        <w:t xml:space="preserve"> место, среди субъектов России – </w:t>
      </w:r>
      <w:r w:rsidR="0076773E" w:rsidRPr="007F0A8F">
        <w:rPr>
          <w:rFonts w:ascii="Arial" w:hAnsi="Arial" w:cs="Arial"/>
          <w:color w:val="000000"/>
        </w:rPr>
        <w:t>2</w:t>
      </w:r>
      <w:r w:rsidRPr="007F0A8F">
        <w:rPr>
          <w:rFonts w:ascii="Arial" w:hAnsi="Arial" w:cs="Arial"/>
          <w:color w:val="000000"/>
        </w:rPr>
        <w:t>4 место.</w:t>
      </w:r>
    </w:p>
    <w:p w:rsidR="00FE2396" w:rsidRPr="00E8667F" w:rsidRDefault="00FE2396" w:rsidP="00493B16">
      <w:pPr>
        <w:ind w:firstLine="709"/>
        <w:contextualSpacing/>
        <w:jc w:val="both"/>
        <w:rPr>
          <w:rFonts w:ascii="Arial" w:hAnsi="Arial" w:cs="Arial"/>
          <w:color w:val="000000"/>
        </w:rPr>
      </w:pPr>
    </w:p>
    <w:p w:rsidR="005461EA" w:rsidRPr="009A59AC" w:rsidRDefault="005461EA" w:rsidP="005461EA">
      <w:pPr>
        <w:pStyle w:val="a8"/>
        <w:spacing w:before="0" w:beforeAutospacing="0" w:after="0" w:afterAutospacing="0" w:line="216" w:lineRule="auto"/>
        <w:jc w:val="center"/>
        <w:textAlignment w:val="baseline"/>
        <w:rPr>
          <w:sz w:val="26"/>
          <w:szCs w:val="26"/>
        </w:rPr>
      </w:pPr>
      <w:r w:rsidRPr="009A59AC">
        <w:rPr>
          <w:rFonts w:ascii="Arial" w:eastAsia="Roboto" w:hAnsi="Arial" w:cs="Arial"/>
          <w:b/>
          <w:bCs/>
          <w:kern w:val="24"/>
          <w:sz w:val="26"/>
          <w:szCs w:val="26"/>
        </w:rPr>
        <w:t>Динамика оборота розничной торговли</w:t>
      </w:r>
    </w:p>
    <w:p w:rsidR="005461EA" w:rsidRPr="009A59AC" w:rsidRDefault="005461EA" w:rsidP="005461EA">
      <w:pPr>
        <w:pStyle w:val="a8"/>
        <w:spacing w:before="0" w:beforeAutospacing="0" w:after="0" w:afterAutospacing="0"/>
        <w:jc w:val="center"/>
        <w:textAlignment w:val="baseline"/>
        <w:rPr>
          <w:sz w:val="20"/>
        </w:rPr>
      </w:pPr>
      <w:r w:rsidRPr="009A59AC">
        <w:rPr>
          <w:rFonts w:ascii="Arial" w:eastAsia="Segoe UI Black" w:hAnsi="Arial" w:cs="Arial"/>
          <w:i/>
          <w:iCs/>
          <w:sz w:val="18"/>
          <w:szCs w:val="22"/>
        </w:rPr>
        <w:t>в сопоставимых ценах в % к соответствующему периоду предыдущего года</w:t>
      </w:r>
    </w:p>
    <w:p w:rsidR="00BA41D0" w:rsidRPr="009A59AC" w:rsidRDefault="00BA41D0" w:rsidP="00082EE0">
      <w:pPr>
        <w:ind w:firstLine="709"/>
        <w:contextualSpacing/>
        <w:jc w:val="both"/>
        <w:rPr>
          <w:rFonts w:ascii="Arial" w:hAnsi="Arial" w:cs="Arial"/>
        </w:rPr>
      </w:pPr>
    </w:p>
    <w:p w:rsidR="00BA41D0" w:rsidRPr="009A59AC" w:rsidRDefault="00BA41D0" w:rsidP="00BA41D0">
      <w:pPr>
        <w:contextualSpacing/>
        <w:jc w:val="both"/>
        <w:rPr>
          <w:rFonts w:ascii="Arial" w:hAnsi="Arial" w:cs="Arial"/>
        </w:rPr>
      </w:pPr>
      <w:r w:rsidRPr="009A59AC">
        <w:rPr>
          <w:rFonts w:ascii="Arial" w:hAnsi="Arial" w:cs="Arial"/>
          <w:noProof/>
        </w:rPr>
        <w:drawing>
          <wp:inline distT="0" distB="0" distL="0" distR="0" wp14:anchorId="533EFA6C" wp14:editId="3219E471">
            <wp:extent cx="5939790" cy="1796834"/>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296" w:rsidRPr="009A59AC" w:rsidRDefault="00C50296" w:rsidP="00BA41D0">
      <w:pPr>
        <w:contextualSpacing/>
        <w:jc w:val="both"/>
        <w:rPr>
          <w:rFonts w:ascii="Arial" w:hAnsi="Arial" w:cs="Arial"/>
        </w:rPr>
      </w:pPr>
    </w:p>
    <w:p w:rsidR="00DC7004" w:rsidRPr="009A59AC" w:rsidRDefault="00082EE0" w:rsidP="00082EE0">
      <w:pPr>
        <w:ind w:firstLine="709"/>
        <w:contextualSpacing/>
        <w:jc w:val="both"/>
        <w:rPr>
          <w:rFonts w:ascii="Arial" w:hAnsi="Arial" w:cs="Arial"/>
        </w:rPr>
      </w:pPr>
      <w:r w:rsidRPr="009A59AC">
        <w:rPr>
          <w:rFonts w:ascii="Arial" w:hAnsi="Arial" w:cs="Arial"/>
        </w:rPr>
        <w:t>Оборот по н</w:t>
      </w:r>
      <w:r w:rsidR="005211B9" w:rsidRPr="009A59AC">
        <w:rPr>
          <w:rFonts w:ascii="Arial" w:hAnsi="Arial" w:cs="Arial"/>
        </w:rPr>
        <w:t>епродовольственным товарам за январь-</w:t>
      </w:r>
      <w:r w:rsidR="00BC3E54" w:rsidRPr="009A59AC">
        <w:rPr>
          <w:rFonts w:ascii="Arial" w:hAnsi="Arial" w:cs="Arial"/>
        </w:rPr>
        <w:t>сентябрь</w:t>
      </w:r>
      <w:r w:rsidR="005211B9" w:rsidRPr="009A59AC">
        <w:rPr>
          <w:rFonts w:ascii="Arial" w:hAnsi="Arial" w:cs="Arial"/>
        </w:rPr>
        <w:t xml:space="preserve"> </w:t>
      </w:r>
      <w:r w:rsidR="00302A5D" w:rsidRPr="009A59AC">
        <w:rPr>
          <w:rFonts w:ascii="Arial" w:hAnsi="Arial" w:cs="Arial"/>
        </w:rPr>
        <w:t xml:space="preserve">2023 г. </w:t>
      </w:r>
      <w:r w:rsidR="00DC7004" w:rsidRPr="009A59AC">
        <w:rPr>
          <w:rFonts w:ascii="Arial" w:hAnsi="Arial" w:cs="Arial"/>
        </w:rPr>
        <w:t xml:space="preserve">вырос на 7,2% и составил 93,2 млрд. рублей </w:t>
      </w:r>
      <w:r w:rsidR="005211B9" w:rsidRPr="009A59AC">
        <w:rPr>
          <w:rFonts w:ascii="Arial" w:hAnsi="Arial" w:cs="Arial"/>
        </w:rPr>
        <w:t>(в январе-</w:t>
      </w:r>
      <w:r w:rsidR="00F45E07" w:rsidRPr="009A59AC">
        <w:rPr>
          <w:rFonts w:ascii="Arial" w:hAnsi="Arial" w:cs="Arial"/>
        </w:rPr>
        <w:t>сентябре</w:t>
      </w:r>
      <w:r w:rsidR="005211B9" w:rsidRPr="009A59AC">
        <w:rPr>
          <w:rFonts w:ascii="Arial" w:hAnsi="Arial" w:cs="Arial"/>
        </w:rPr>
        <w:t xml:space="preserve"> 202</w:t>
      </w:r>
      <w:r w:rsidR="00DC7004" w:rsidRPr="009A59AC">
        <w:rPr>
          <w:rFonts w:ascii="Arial" w:hAnsi="Arial" w:cs="Arial"/>
        </w:rPr>
        <w:t>2</w:t>
      </w:r>
      <w:r w:rsidR="005211B9" w:rsidRPr="009A59AC">
        <w:rPr>
          <w:rFonts w:ascii="Arial" w:hAnsi="Arial" w:cs="Arial"/>
        </w:rPr>
        <w:t xml:space="preserve"> г. отмечен рост на </w:t>
      </w:r>
      <w:r w:rsidR="00F45E07" w:rsidRPr="009A59AC">
        <w:rPr>
          <w:rFonts w:ascii="Arial" w:hAnsi="Arial" w:cs="Arial"/>
        </w:rPr>
        <w:t>19,8</w:t>
      </w:r>
      <w:r w:rsidR="005211B9" w:rsidRPr="009A59AC">
        <w:rPr>
          <w:rFonts w:ascii="Arial" w:hAnsi="Arial" w:cs="Arial"/>
        </w:rPr>
        <w:t>%)</w:t>
      </w:r>
      <w:r w:rsidR="00DC7004" w:rsidRPr="009A59AC">
        <w:rPr>
          <w:rFonts w:ascii="Arial" w:hAnsi="Arial" w:cs="Arial"/>
        </w:rPr>
        <w:t>. Рост реальных доходов населения, рост производства, стабилизация эк</w:t>
      </w:r>
      <w:r w:rsidR="00DC7004" w:rsidRPr="009A59AC">
        <w:rPr>
          <w:rFonts w:ascii="Arial" w:hAnsi="Arial" w:cs="Arial"/>
        </w:rPr>
        <w:t>о</w:t>
      </w:r>
      <w:r w:rsidR="00DC7004" w:rsidRPr="009A59AC">
        <w:rPr>
          <w:rFonts w:ascii="Arial" w:hAnsi="Arial" w:cs="Arial"/>
        </w:rPr>
        <w:t>номической ситуации в стране оказывают влияние на увеличение потребительск</w:t>
      </w:r>
      <w:r w:rsidR="00DC7004" w:rsidRPr="009A59AC">
        <w:rPr>
          <w:rFonts w:ascii="Arial" w:hAnsi="Arial" w:cs="Arial"/>
        </w:rPr>
        <w:t>о</w:t>
      </w:r>
      <w:r w:rsidR="00DC7004" w:rsidRPr="009A59AC">
        <w:rPr>
          <w:rFonts w:ascii="Arial" w:hAnsi="Arial" w:cs="Arial"/>
        </w:rPr>
        <w:t>го спроса на непродовольственные товары. Доля непродовольственных товаров в структуре оборота розничной торговли составляет 51,9%.</w:t>
      </w:r>
    </w:p>
    <w:p w:rsidR="009C6FA2" w:rsidRPr="009A59AC" w:rsidRDefault="009C6FA2" w:rsidP="008216F7">
      <w:pPr>
        <w:ind w:firstLine="709"/>
        <w:jc w:val="both"/>
        <w:rPr>
          <w:rFonts w:ascii="Arial" w:hAnsi="Arial" w:cs="Arial"/>
        </w:rPr>
      </w:pPr>
    </w:p>
    <w:p w:rsidR="00082EE0" w:rsidRPr="009A59AC" w:rsidRDefault="008216F7" w:rsidP="008216F7">
      <w:pPr>
        <w:pStyle w:val="a8"/>
        <w:spacing w:before="0" w:beforeAutospacing="0" w:after="0" w:afterAutospacing="0" w:line="216" w:lineRule="auto"/>
        <w:jc w:val="center"/>
        <w:textAlignment w:val="baseline"/>
        <w:rPr>
          <w:rFonts w:ascii="Arial" w:eastAsia="Roboto" w:hAnsi="Arial" w:cs="Arial"/>
          <w:b/>
          <w:bCs/>
          <w:kern w:val="24"/>
          <w:sz w:val="26"/>
          <w:szCs w:val="26"/>
        </w:rPr>
      </w:pPr>
      <w:r w:rsidRPr="009A59AC">
        <w:rPr>
          <w:rFonts w:ascii="Arial" w:eastAsia="Roboto" w:hAnsi="Arial" w:cs="Arial"/>
          <w:b/>
          <w:bCs/>
          <w:kern w:val="24"/>
          <w:sz w:val="26"/>
          <w:szCs w:val="26"/>
        </w:rPr>
        <w:t>Доля непродовольственных товаров</w:t>
      </w:r>
      <w:r w:rsidR="00082EE0" w:rsidRPr="009A59AC">
        <w:rPr>
          <w:rFonts w:ascii="Arial" w:eastAsia="Roboto" w:hAnsi="Arial" w:cs="Arial"/>
          <w:b/>
          <w:bCs/>
          <w:kern w:val="24"/>
          <w:sz w:val="26"/>
          <w:szCs w:val="26"/>
        </w:rPr>
        <w:t xml:space="preserve"> </w:t>
      </w:r>
    </w:p>
    <w:p w:rsidR="009C6FA2" w:rsidRPr="009A59AC" w:rsidRDefault="00082EE0" w:rsidP="008216F7">
      <w:pPr>
        <w:pStyle w:val="a8"/>
        <w:spacing w:before="0" w:beforeAutospacing="0" w:after="0" w:afterAutospacing="0" w:line="216" w:lineRule="auto"/>
        <w:jc w:val="center"/>
        <w:textAlignment w:val="baseline"/>
        <w:rPr>
          <w:rFonts w:ascii="Arial" w:eastAsia="Roboto" w:hAnsi="Arial" w:cs="Arial"/>
          <w:b/>
          <w:bCs/>
          <w:kern w:val="24"/>
          <w:sz w:val="26"/>
          <w:szCs w:val="26"/>
        </w:rPr>
      </w:pPr>
      <w:r w:rsidRPr="009A59AC">
        <w:rPr>
          <w:rFonts w:ascii="Arial" w:eastAsia="Roboto" w:hAnsi="Arial" w:cs="Arial"/>
          <w:b/>
          <w:bCs/>
          <w:kern w:val="24"/>
          <w:sz w:val="26"/>
          <w:szCs w:val="26"/>
        </w:rPr>
        <w:t>в обороте розничной торговли</w:t>
      </w:r>
      <w:r w:rsidR="008216F7" w:rsidRPr="009A59AC">
        <w:rPr>
          <w:rFonts w:ascii="Arial" w:eastAsia="Roboto" w:hAnsi="Arial" w:cs="Arial"/>
          <w:b/>
          <w:bCs/>
          <w:kern w:val="24"/>
          <w:sz w:val="26"/>
          <w:szCs w:val="26"/>
        </w:rPr>
        <w:t>, %</w:t>
      </w:r>
    </w:p>
    <w:p w:rsidR="009C6FA2" w:rsidRPr="009A59AC" w:rsidRDefault="008216F7" w:rsidP="0066144E">
      <w:pPr>
        <w:ind w:firstLine="708"/>
        <w:jc w:val="both"/>
        <w:rPr>
          <w:rFonts w:ascii="Arial" w:hAnsi="Arial" w:cs="Arial"/>
        </w:rPr>
      </w:pPr>
      <w:r w:rsidRPr="009A59AC">
        <w:rPr>
          <w:rFonts w:ascii="Arial" w:hAnsi="Arial" w:cs="Arial"/>
          <w:noProof/>
        </w:rPr>
        <w:drawing>
          <wp:anchor distT="0" distB="0" distL="114300" distR="114300" simplePos="0" relativeHeight="251700224" behindDoc="0" locked="0" layoutInCell="1" allowOverlap="1" wp14:anchorId="7E60332E" wp14:editId="4B987581">
            <wp:simplePos x="0" y="0"/>
            <wp:positionH relativeFrom="column">
              <wp:posOffset>772160</wp:posOffset>
            </wp:positionH>
            <wp:positionV relativeFrom="paragraph">
              <wp:posOffset>87630</wp:posOffset>
            </wp:positionV>
            <wp:extent cx="3999230" cy="1303655"/>
            <wp:effectExtent l="0" t="0" r="1270" b="0"/>
            <wp:wrapTight wrapText="bothSides">
              <wp:wrapPolygon edited="0">
                <wp:start x="0" y="0"/>
                <wp:lineTo x="0" y="21148"/>
                <wp:lineTo x="21504" y="21148"/>
                <wp:lineTo x="21504"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151455" w:rsidRPr="009A59AC" w:rsidRDefault="00151455" w:rsidP="00135D12">
      <w:pPr>
        <w:ind w:firstLine="709"/>
        <w:contextualSpacing/>
        <w:jc w:val="both"/>
        <w:rPr>
          <w:rFonts w:ascii="Arial" w:hAnsi="Arial" w:cs="Arial"/>
        </w:rPr>
      </w:pPr>
    </w:p>
    <w:p w:rsidR="00151455" w:rsidRPr="009A59AC" w:rsidRDefault="00151455" w:rsidP="00135D12">
      <w:pPr>
        <w:ind w:firstLine="709"/>
        <w:contextualSpacing/>
        <w:jc w:val="both"/>
        <w:rPr>
          <w:rFonts w:ascii="Arial" w:hAnsi="Arial" w:cs="Arial"/>
        </w:rPr>
      </w:pPr>
    </w:p>
    <w:p w:rsidR="00493B16" w:rsidRPr="009A59AC" w:rsidRDefault="00135D12" w:rsidP="00135D12">
      <w:pPr>
        <w:ind w:firstLine="709"/>
        <w:contextualSpacing/>
        <w:jc w:val="both"/>
        <w:rPr>
          <w:rFonts w:ascii="Arial" w:hAnsi="Arial" w:cs="Arial"/>
        </w:rPr>
      </w:pPr>
      <w:r w:rsidRPr="009A59AC">
        <w:rPr>
          <w:rFonts w:ascii="Arial" w:hAnsi="Arial" w:cs="Arial"/>
        </w:rPr>
        <w:t>В январе-сентябре 202</w:t>
      </w:r>
      <w:r w:rsidR="000B4A2D" w:rsidRPr="009A59AC">
        <w:rPr>
          <w:rFonts w:ascii="Arial" w:hAnsi="Arial" w:cs="Arial"/>
        </w:rPr>
        <w:t>3</w:t>
      </w:r>
      <w:r w:rsidRPr="009A59AC">
        <w:rPr>
          <w:rFonts w:ascii="Arial" w:hAnsi="Arial" w:cs="Arial"/>
        </w:rPr>
        <w:t xml:space="preserve"> г. оборот розничной торговли на 96,</w:t>
      </w:r>
      <w:r w:rsidR="000B4A2D" w:rsidRPr="009A59AC">
        <w:rPr>
          <w:rFonts w:ascii="Arial" w:hAnsi="Arial" w:cs="Arial"/>
        </w:rPr>
        <w:t>5</w:t>
      </w:r>
      <w:r w:rsidRPr="009A59AC">
        <w:rPr>
          <w:rFonts w:ascii="Arial" w:hAnsi="Arial" w:cs="Arial"/>
        </w:rPr>
        <w:t>% формир</w:t>
      </w:r>
      <w:r w:rsidRPr="009A59AC">
        <w:rPr>
          <w:rFonts w:ascii="Arial" w:hAnsi="Arial" w:cs="Arial"/>
        </w:rPr>
        <w:t>о</w:t>
      </w:r>
      <w:r w:rsidRPr="009A59AC">
        <w:rPr>
          <w:rFonts w:ascii="Arial" w:hAnsi="Arial" w:cs="Arial"/>
        </w:rPr>
        <w:t>вался торгующими организациями и индивидуальными предпринимателями, ос</w:t>
      </w:r>
      <w:r w:rsidRPr="009A59AC">
        <w:rPr>
          <w:rFonts w:ascii="Arial" w:hAnsi="Arial" w:cs="Arial"/>
        </w:rPr>
        <w:t>у</w:t>
      </w:r>
      <w:r w:rsidRPr="009A59AC">
        <w:rPr>
          <w:rFonts w:ascii="Arial" w:hAnsi="Arial" w:cs="Arial"/>
        </w:rPr>
        <w:t>ществляющими деятельность в стационарной торговой сети (вне рынка). Доля продажи товаров на рынках и ярмарках составила 3,</w:t>
      </w:r>
      <w:r w:rsidR="000B4A2D" w:rsidRPr="009A59AC">
        <w:rPr>
          <w:rFonts w:ascii="Arial" w:hAnsi="Arial" w:cs="Arial"/>
        </w:rPr>
        <w:t>5</w:t>
      </w:r>
      <w:r w:rsidRPr="009A59AC">
        <w:rPr>
          <w:rFonts w:ascii="Arial" w:hAnsi="Arial" w:cs="Arial"/>
        </w:rPr>
        <w:t>%</w:t>
      </w:r>
      <w:r w:rsidR="007F0A8F" w:rsidRPr="009A59AC">
        <w:rPr>
          <w:rFonts w:ascii="Arial" w:hAnsi="Arial" w:cs="Arial"/>
        </w:rPr>
        <w:t>,</w:t>
      </w:r>
      <w:r w:rsidR="00493B16" w:rsidRPr="009A59AC">
        <w:rPr>
          <w:rFonts w:ascii="Arial" w:hAnsi="Arial" w:cs="Arial"/>
        </w:rPr>
        <w:t xml:space="preserve"> что свидетельствует о сглаживании уровня цен в стационарных объектах торговли и на объектах рыно</w:t>
      </w:r>
      <w:r w:rsidR="00493B16" w:rsidRPr="009A59AC">
        <w:rPr>
          <w:rFonts w:ascii="Arial" w:hAnsi="Arial" w:cs="Arial"/>
        </w:rPr>
        <w:t>ч</w:t>
      </w:r>
      <w:r w:rsidRPr="009A59AC">
        <w:rPr>
          <w:rFonts w:ascii="Arial" w:hAnsi="Arial" w:cs="Arial"/>
        </w:rPr>
        <w:t xml:space="preserve">ной торговли (рынки, </w:t>
      </w:r>
      <w:r w:rsidR="00493B16" w:rsidRPr="009A59AC">
        <w:rPr>
          <w:rFonts w:ascii="Arial" w:hAnsi="Arial" w:cs="Arial"/>
        </w:rPr>
        <w:t>ярмарки).</w:t>
      </w:r>
    </w:p>
    <w:p w:rsidR="00082EE0" w:rsidRPr="009A59AC" w:rsidRDefault="00082EE0" w:rsidP="005B1202">
      <w:pPr>
        <w:ind w:firstLine="709"/>
        <w:contextualSpacing/>
        <w:jc w:val="both"/>
        <w:rPr>
          <w:rFonts w:ascii="Arial" w:hAnsi="Arial" w:cs="Arial"/>
        </w:rPr>
      </w:pPr>
    </w:p>
    <w:p w:rsidR="008216F7" w:rsidRPr="009A59AC" w:rsidRDefault="008216F7" w:rsidP="008216F7">
      <w:pPr>
        <w:pStyle w:val="a8"/>
        <w:spacing w:before="0" w:beforeAutospacing="0" w:after="0" w:afterAutospacing="0" w:line="216" w:lineRule="auto"/>
        <w:jc w:val="center"/>
        <w:textAlignment w:val="baseline"/>
        <w:rPr>
          <w:rFonts w:ascii="Arial" w:eastAsia="Roboto" w:hAnsi="Arial" w:cs="Arial"/>
          <w:b/>
          <w:bCs/>
          <w:kern w:val="24"/>
          <w:sz w:val="26"/>
          <w:szCs w:val="26"/>
        </w:rPr>
      </w:pPr>
      <w:r w:rsidRPr="009A59AC">
        <w:rPr>
          <w:rFonts w:ascii="Arial" w:eastAsia="Roboto" w:hAnsi="Arial" w:cs="Arial"/>
          <w:b/>
          <w:bCs/>
          <w:kern w:val="24"/>
          <w:sz w:val="26"/>
          <w:szCs w:val="26"/>
        </w:rPr>
        <w:lastRenderedPageBreak/>
        <w:t>Доля торгующих организаций, вкл</w:t>
      </w:r>
      <w:r w:rsidR="00082EE0" w:rsidRPr="009A59AC">
        <w:rPr>
          <w:rFonts w:ascii="Arial" w:eastAsia="Roboto" w:hAnsi="Arial" w:cs="Arial"/>
          <w:b/>
          <w:bCs/>
          <w:kern w:val="24"/>
          <w:sz w:val="26"/>
          <w:szCs w:val="26"/>
        </w:rPr>
        <w:t>ючая</w:t>
      </w:r>
      <w:r w:rsidRPr="009A59AC">
        <w:rPr>
          <w:rFonts w:ascii="Arial" w:eastAsia="Roboto" w:hAnsi="Arial" w:cs="Arial"/>
          <w:b/>
          <w:bCs/>
          <w:kern w:val="24"/>
          <w:sz w:val="26"/>
          <w:szCs w:val="26"/>
        </w:rPr>
        <w:t xml:space="preserve"> ИП, </w:t>
      </w:r>
    </w:p>
    <w:p w:rsidR="009C6FA2" w:rsidRPr="009A59AC" w:rsidRDefault="008216F7" w:rsidP="008216F7">
      <w:pPr>
        <w:pStyle w:val="a8"/>
        <w:spacing w:before="0" w:beforeAutospacing="0" w:after="0" w:afterAutospacing="0" w:line="216" w:lineRule="auto"/>
        <w:jc w:val="center"/>
        <w:textAlignment w:val="baseline"/>
        <w:rPr>
          <w:rFonts w:ascii="Arial" w:eastAsia="Roboto" w:hAnsi="Arial" w:cs="Arial"/>
          <w:b/>
          <w:bCs/>
          <w:kern w:val="24"/>
          <w:sz w:val="26"/>
          <w:szCs w:val="26"/>
        </w:rPr>
      </w:pPr>
      <w:r w:rsidRPr="009A59AC">
        <w:rPr>
          <w:rFonts w:ascii="Arial" w:eastAsia="Roboto" w:hAnsi="Arial" w:cs="Arial"/>
          <w:b/>
          <w:bCs/>
          <w:kern w:val="24"/>
          <w:sz w:val="26"/>
          <w:szCs w:val="26"/>
        </w:rPr>
        <w:t>реализующих товары вне рынка,%</w:t>
      </w:r>
    </w:p>
    <w:p w:rsidR="009C6FA2" w:rsidRPr="009A59AC" w:rsidRDefault="008216F7" w:rsidP="0066144E">
      <w:pPr>
        <w:ind w:firstLine="708"/>
        <w:jc w:val="both"/>
        <w:rPr>
          <w:rFonts w:ascii="Arial" w:hAnsi="Arial" w:cs="Arial"/>
        </w:rPr>
      </w:pPr>
      <w:r w:rsidRPr="009A59AC">
        <w:rPr>
          <w:rFonts w:ascii="Arial" w:hAnsi="Arial" w:cs="Arial"/>
          <w:noProof/>
        </w:rPr>
        <w:drawing>
          <wp:anchor distT="0" distB="0" distL="114300" distR="114300" simplePos="0" relativeHeight="251684864" behindDoc="0" locked="0" layoutInCell="1" allowOverlap="1" wp14:anchorId="3DF54BBE" wp14:editId="06679829">
            <wp:simplePos x="0" y="0"/>
            <wp:positionH relativeFrom="column">
              <wp:posOffset>1249045</wp:posOffset>
            </wp:positionH>
            <wp:positionV relativeFrom="paragraph">
              <wp:posOffset>96520</wp:posOffset>
            </wp:positionV>
            <wp:extent cx="2893695" cy="1271905"/>
            <wp:effectExtent l="0" t="0" r="1905" b="4445"/>
            <wp:wrapTight wrapText="bothSides">
              <wp:wrapPolygon edited="0">
                <wp:start x="0" y="0"/>
                <wp:lineTo x="0" y="21352"/>
                <wp:lineTo x="21472" y="21352"/>
                <wp:lineTo x="21472"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9C6FA2" w:rsidRPr="009A59AC" w:rsidRDefault="009C6FA2" w:rsidP="0066144E">
      <w:pPr>
        <w:ind w:firstLine="708"/>
        <w:jc w:val="both"/>
        <w:rPr>
          <w:rFonts w:ascii="Arial" w:hAnsi="Arial" w:cs="Arial"/>
        </w:rPr>
      </w:pPr>
    </w:p>
    <w:p w:rsidR="008216F7" w:rsidRPr="009A59AC" w:rsidRDefault="008216F7" w:rsidP="0066144E">
      <w:pPr>
        <w:ind w:firstLine="708"/>
        <w:jc w:val="both"/>
        <w:rPr>
          <w:rFonts w:ascii="Arial" w:hAnsi="Arial" w:cs="Arial"/>
        </w:rPr>
      </w:pPr>
    </w:p>
    <w:p w:rsidR="008216F7" w:rsidRPr="009A59AC" w:rsidRDefault="008216F7" w:rsidP="0066144E">
      <w:pPr>
        <w:ind w:firstLine="708"/>
        <w:jc w:val="both"/>
        <w:rPr>
          <w:rFonts w:ascii="Arial" w:hAnsi="Arial" w:cs="Arial"/>
        </w:rPr>
      </w:pPr>
    </w:p>
    <w:p w:rsidR="008216F7" w:rsidRPr="009A59AC" w:rsidRDefault="008216F7" w:rsidP="0066144E">
      <w:pPr>
        <w:ind w:firstLine="708"/>
        <w:jc w:val="both"/>
        <w:rPr>
          <w:rFonts w:ascii="Arial" w:hAnsi="Arial" w:cs="Arial"/>
        </w:rPr>
      </w:pPr>
    </w:p>
    <w:p w:rsidR="008216F7" w:rsidRPr="009A59AC" w:rsidRDefault="008216F7" w:rsidP="0066144E">
      <w:pPr>
        <w:ind w:firstLine="708"/>
        <w:jc w:val="both"/>
        <w:rPr>
          <w:rFonts w:ascii="Arial" w:hAnsi="Arial" w:cs="Arial"/>
        </w:rPr>
      </w:pPr>
    </w:p>
    <w:p w:rsidR="0061689B" w:rsidRPr="009A59AC" w:rsidRDefault="00690C79" w:rsidP="00082EE0">
      <w:pPr>
        <w:ind w:firstLine="709"/>
        <w:contextualSpacing/>
        <w:jc w:val="both"/>
        <w:rPr>
          <w:rFonts w:ascii="Arial" w:hAnsi="Arial" w:cs="Arial"/>
        </w:rPr>
      </w:pPr>
      <w:r w:rsidRPr="009A59AC">
        <w:rPr>
          <w:rFonts w:ascii="Arial" w:hAnsi="Arial" w:cs="Arial"/>
        </w:rPr>
        <w:t xml:space="preserve">Общий оборот оптовой торговли в январе - сентябре 2023 года составил 284146,6 </w:t>
      </w:r>
      <w:proofErr w:type="gramStart"/>
      <w:r w:rsidRPr="009A59AC">
        <w:rPr>
          <w:rFonts w:ascii="Arial" w:hAnsi="Arial" w:cs="Arial"/>
        </w:rPr>
        <w:t>млн</w:t>
      </w:r>
      <w:proofErr w:type="gramEnd"/>
      <w:r w:rsidRPr="009A59AC">
        <w:rPr>
          <w:rFonts w:ascii="Arial" w:hAnsi="Arial" w:cs="Arial"/>
        </w:rPr>
        <w:t xml:space="preserve"> рублей, или 117,0% к январю - сентябрю 2022 года. В общем объ</w:t>
      </w:r>
      <w:r w:rsidRPr="009A59AC">
        <w:rPr>
          <w:rFonts w:ascii="Arial" w:hAnsi="Arial" w:cs="Arial"/>
        </w:rPr>
        <w:t>е</w:t>
      </w:r>
      <w:r w:rsidRPr="009A59AC">
        <w:rPr>
          <w:rFonts w:ascii="Arial" w:hAnsi="Arial" w:cs="Arial"/>
        </w:rPr>
        <w:t>ме оборота оптовой торговли на долю организаций, не относящихся к субъектам малого предпринимательства, приходилось 42,9%, на долю субъектов малого предпринимательства – 57,1%. В январе - сентябре 2023 года оборот оптовой то</w:t>
      </w:r>
      <w:r w:rsidRPr="009A59AC">
        <w:rPr>
          <w:rFonts w:ascii="Arial" w:hAnsi="Arial" w:cs="Arial"/>
        </w:rPr>
        <w:t>р</w:t>
      </w:r>
      <w:r w:rsidRPr="009A59AC">
        <w:rPr>
          <w:rFonts w:ascii="Arial" w:hAnsi="Arial" w:cs="Arial"/>
        </w:rPr>
        <w:t>говли на 80,0% формировался организациями оптовой торговли.</w:t>
      </w:r>
    </w:p>
    <w:p w:rsidR="00690C79" w:rsidRPr="009A59AC" w:rsidRDefault="00690C79" w:rsidP="00082EE0">
      <w:pPr>
        <w:ind w:firstLine="709"/>
        <w:contextualSpacing/>
        <w:jc w:val="both"/>
        <w:rPr>
          <w:rFonts w:ascii="Arial" w:hAnsi="Arial" w:cs="Arial"/>
        </w:rPr>
      </w:pPr>
    </w:p>
    <w:p w:rsidR="0061689B" w:rsidRPr="009A59AC" w:rsidRDefault="0061689B" w:rsidP="0061689B">
      <w:pPr>
        <w:pStyle w:val="a8"/>
        <w:spacing w:before="0" w:beforeAutospacing="0" w:after="0" w:afterAutospacing="0" w:line="216" w:lineRule="auto"/>
        <w:jc w:val="center"/>
        <w:textAlignment w:val="baseline"/>
        <w:rPr>
          <w:sz w:val="26"/>
          <w:szCs w:val="26"/>
        </w:rPr>
      </w:pPr>
      <w:r w:rsidRPr="009A59AC">
        <w:rPr>
          <w:rFonts w:ascii="Arial" w:eastAsia="Roboto" w:hAnsi="Arial" w:cs="Arial"/>
          <w:b/>
          <w:bCs/>
          <w:kern w:val="24"/>
          <w:sz w:val="26"/>
          <w:szCs w:val="26"/>
        </w:rPr>
        <w:t>Динамика оборота оптовой торговли</w:t>
      </w:r>
    </w:p>
    <w:p w:rsidR="0061689B" w:rsidRPr="009A59AC" w:rsidRDefault="0061689B" w:rsidP="0061689B">
      <w:pPr>
        <w:pStyle w:val="a8"/>
        <w:spacing w:before="0" w:beforeAutospacing="0" w:after="0" w:afterAutospacing="0"/>
        <w:jc w:val="center"/>
        <w:textAlignment w:val="baseline"/>
        <w:rPr>
          <w:sz w:val="20"/>
        </w:rPr>
      </w:pPr>
      <w:r w:rsidRPr="009A59AC">
        <w:rPr>
          <w:rFonts w:ascii="Arial" w:eastAsia="Segoe UI Black" w:hAnsi="Arial" w:cs="Arial"/>
          <w:i/>
          <w:iCs/>
          <w:sz w:val="18"/>
          <w:szCs w:val="22"/>
        </w:rPr>
        <w:t>в сопоставимых ценах в % к соответствующему периоду предыдущего года</w:t>
      </w:r>
    </w:p>
    <w:p w:rsidR="0061689B" w:rsidRPr="009A59AC" w:rsidRDefault="007A7403" w:rsidP="00082EE0">
      <w:pPr>
        <w:ind w:firstLine="709"/>
        <w:contextualSpacing/>
        <w:jc w:val="both"/>
        <w:rPr>
          <w:rFonts w:ascii="Arial" w:hAnsi="Arial" w:cs="Arial"/>
        </w:rPr>
      </w:pPr>
      <w:bookmarkStart w:id="0" w:name="_GoBack"/>
      <w:r w:rsidRPr="009A59AC">
        <w:rPr>
          <w:rFonts w:ascii="Arial" w:hAnsi="Arial" w:cs="Arial"/>
          <w:noProof/>
        </w:rPr>
        <w:drawing>
          <wp:anchor distT="0" distB="0" distL="114300" distR="114300" simplePos="0" relativeHeight="251702272" behindDoc="0" locked="0" layoutInCell="1" allowOverlap="1" wp14:anchorId="31A18C71" wp14:editId="1D959ED3">
            <wp:simplePos x="0" y="0"/>
            <wp:positionH relativeFrom="column">
              <wp:posOffset>-30480</wp:posOffset>
            </wp:positionH>
            <wp:positionV relativeFrom="paragraph">
              <wp:posOffset>87630</wp:posOffset>
            </wp:positionV>
            <wp:extent cx="6028055" cy="1600200"/>
            <wp:effectExtent l="0" t="0" r="0" b="0"/>
            <wp:wrapTight wrapText="bothSides">
              <wp:wrapPolygon edited="0">
                <wp:start x="0" y="1800"/>
                <wp:lineTo x="0" y="9514"/>
                <wp:lineTo x="137" y="10543"/>
                <wp:lineTo x="614" y="10543"/>
                <wp:lineTo x="137" y="13114"/>
                <wp:lineTo x="205" y="13886"/>
                <wp:lineTo x="1433" y="15171"/>
                <wp:lineTo x="10171" y="19029"/>
                <wp:lineTo x="10103" y="19543"/>
                <wp:lineTo x="10376" y="21086"/>
                <wp:lineTo x="10853" y="21086"/>
                <wp:lineTo x="12287" y="20571"/>
                <wp:lineTo x="12287" y="19286"/>
                <wp:lineTo x="11809" y="18771"/>
                <wp:lineTo x="21161" y="15171"/>
                <wp:lineTo x="21297" y="14143"/>
                <wp:lineTo x="19659" y="13371"/>
                <wp:lineTo x="11604" y="10543"/>
                <wp:lineTo x="14881" y="10543"/>
                <wp:lineTo x="20820" y="7714"/>
                <wp:lineTo x="20888" y="4886"/>
                <wp:lineTo x="16724" y="4114"/>
                <wp:lineTo x="1160" y="1800"/>
                <wp:lineTo x="0" y="180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bookmarkEnd w:id="0"/>
    </w:p>
    <w:p w:rsidR="0061689B" w:rsidRPr="00CC0619" w:rsidRDefault="0061689B" w:rsidP="00082EE0">
      <w:pPr>
        <w:ind w:firstLine="709"/>
        <w:contextualSpacing/>
        <w:jc w:val="both"/>
        <w:rPr>
          <w:rFonts w:ascii="Arial" w:hAnsi="Arial" w:cs="Arial"/>
          <w:color w:val="FF0000"/>
        </w:rPr>
      </w:pPr>
    </w:p>
    <w:p w:rsidR="0061689B" w:rsidRPr="00CC0619" w:rsidRDefault="0061689B" w:rsidP="00082EE0">
      <w:pPr>
        <w:ind w:firstLine="709"/>
        <w:contextualSpacing/>
        <w:jc w:val="both"/>
        <w:rPr>
          <w:rFonts w:ascii="Arial" w:hAnsi="Arial" w:cs="Arial"/>
          <w:color w:val="FF0000"/>
        </w:rPr>
      </w:pPr>
    </w:p>
    <w:p w:rsidR="0061689B" w:rsidRPr="00CC0619" w:rsidRDefault="0061689B" w:rsidP="00082EE0">
      <w:pPr>
        <w:ind w:firstLine="709"/>
        <w:contextualSpacing/>
        <w:jc w:val="both"/>
        <w:rPr>
          <w:rFonts w:ascii="Arial" w:hAnsi="Arial" w:cs="Arial"/>
          <w:color w:val="FF0000"/>
        </w:rPr>
      </w:pPr>
    </w:p>
    <w:p w:rsidR="0061689B" w:rsidRPr="00CC0619" w:rsidRDefault="0061689B" w:rsidP="00082EE0">
      <w:pPr>
        <w:ind w:firstLine="709"/>
        <w:contextualSpacing/>
        <w:jc w:val="both"/>
        <w:rPr>
          <w:rFonts w:ascii="Arial" w:hAnsi="Arial" w:cs="Arial"/>
          <w:color w:val="FF0000"/>
        </w:rPr>
      </w:pPr>
    </w:p>
    <w:p w:rsidR="0061689B" w:rsidRPr="00CC0619" w:rsidRDefault="0061689B" w:rsidP="00913D7F">
      <w:pPr>
        <w:contextualSpacing/>
        <w:jc w:val="both"/>
        <w:rPr>
          <w:rFonts w:ascii="Arial" w:hAnsi="Arial" w:cs="Arial"/>
          <w:color w:val="FF0000"/>
        </w:rPr>
      </w:pPr>
    </w:p>
    <w:p w:rsidR="00913D7F" w:rsidRPr="00CC0619" w:rsidRDefault="00913D7F" w:rsidP="00913D7F">
      <w:pPr>
        <w:contextualSpacing/>
        <w:jc w:val="both"/>
        <w:rPr>
          <w:rFonts w:ascii="Arial" w:hAnsi="Arial" w:cs="Arial"/>
          <w:color w:val="FF0000"/>
        </w:rPr>
      </w:pPr>
    </w:p>
    <w:p w:rsidR="00395AE6" w:rsidRPr="00EB46C8" w:rsidRDefault="00B74088" w:rsidP="00395AE6">
      <w:pPr>
        <w:ind w:firstLine="709"/>
        <w:contextualSpacing/>
        <w:jc w:val="both"/>
        <w:rPr>
          <w:rFonts w:ascii="Arial" w:hAnsi="Arial" w:cs="Arial"/>
        </w:rPr>
      </w:pPr>
      <w:r w:rsidRPr="00EB46C8">
        <w:rPr>
          <w:rFonts w:ascii="Arial" w:hAnsi="Arial" w:cs="Arial"/>
        </w:rPr>
        <w:t>Объем платных услуг населению в январе-сентябре 202</w:t>
      </w:r>
      <w:r w:rsidR="007F0A8F" w:rsidRPr="00EB46C8">
        <w:rPr>
          <w:rFonts w:ascii="Arial" w:hAnsi="Arial" w:cs="Arial"/>
        </w:rPr>
        <w:t>3</w:t>
      </w:r>
      <w:r w:rsidRPr="00EB46C8">
        <w:rPr>
          <w:rFonts w:ascii="Arial" w:hAnsi="Arial" w:cs="Arial"/>
        </w:rPr>
        <w:t xml:space="preserve"> г. составил </w:t>
      </w:r>
      <w:r w:rsidR="007F0A8F" w:rsidRPr="00EB46C8">
        <w:rPr>
          <w:rFonts w:ascii="Arial" w:hAnsi="Arial" w:cs="Arial"/>
        </w:rPr>
        <w:t>51,3</w:t>
      </w:r>
      <w:r w:rsidRPr="00EB46C8">
        <w:rPr>
          <w:rFonts w:ascii="Arial" w:hAnsi="Arial" w:cs="Arial"/>
        </w:rPr>
        <w:t xml:space="preserve"> млрд. рублей, или 10</w:t>
      </w:r>
      <w:r w:rsidR="007F0A8F" w:rsidRPr="00EB46C8">
        <w:rPr>
          <w:rFonts w:ascii="Arial" w:hAnsi="Arial" w:cs="Arial"/>
        </w:rPr>
        <w:t>2</w:t>
      </w:r>
      <w:r w:rsidRPr="00EB46C8">
        <w:rPr>
          <w:rFonts w:ascii="Arial" w:hAnsi="Arial" w:cs="Arial"/>
        </w:rPr>
        <w:t>,1% (по России – 10</w:t>
      </w:r>
      <w:r w:rsidR="00F1066E" w:rsidRPr="00EB46C8">
        <w:rPr>
          <w:rFonts w:ascii="Arial" w:hAnsi="Arial" w:cs="Arial"/>
        </w:rPr>
        <w:t>4,2</w:t>
      </w:r>
      <w:r w:rsidRPr="00EB46C8">
        <w:rPr>
          <w:rFonts w:ascii="Arial" w:hAnsi="Arial" w:cs="Arial"/>
        </w:rPr>
        <w:t>% по ПФО – 10</w:t>
      </w:r>
      <w:r w:rsidR="007F0A8F" w:rsidRPr="00EB46C8">
        <w:rPr>
          <w:rFonts w:ascii="Arial" w:hAnsi="Arial" w:cs="Arial"/>
        </w:rPr>
        <w:t>3</w:t>
      </w:r>
      <w:r w:rsidR="00F1066E" w:rsidRPr="00EB46C8">
        <w:rPr>
          <w:rFonts w:ascii="Arial" w:hAnsi="Arial" w:cs="Arial"/>
        </w:rPr>
        <w:t>,9</w:t>
      </w:r>
      <w:r w:rsidRPr="00EB46C8">
        <w:rPr>
          <w:rFonts w:ascii="Arial" w:hAnsi="Arial" w:cs="Arial"/>
        </w:rPr>
        <w:t xml:space="preserve">% к </w:t>
      </w:r>
      <w:r w:rsidRPr="00EB46C8">
        <w:rPr>
          <w:rFonts w:ascii="Arial" w:hAnsi="Arial" w:cs="Arial"/>
        </w:rPr>
        <w:br/>
      </w:r>
      <w:r w:rsidR="00395AE6" w:rsidRPr="00EB46C8">
        <w:rPr>
          <w:rFonts w:ascii="Arial" w:hAnsi="Arial" w:cs="Arial"/>
        </w:rPr>
        <w:t xml:space="preserve">январю-сентябрю </w:t>
      </w:r>
      <w:r w:rsidRPr="00EB46C8">
        <w:rPr>
          <w:rFonts w:ascii="Arial" w:hAnsi="Arial" w:cs="Arial"/>
        </w:rPr>
        <w:t>202</w:t>
      </w:r>
      <w:r w:rsidR="00F1066E" w:rsidRPr="00EB46C8">
        <w:rPr>
          <w:rFonts w:ascii="Arial" w:hAnsi="Arial" w:cs="Arial"/>
        </w:rPr>
        <w:t>2</w:t>
      </w:r>
      <w:r w:rsidRPr="00EB46C8">
        <w:rPr>
          <w:rFonts w:ascii="Arial" w:hAnsi="Arial" w:cs="Arial"/>
        </w:rPr>
        <w:t xml:space="preserve"> г.). </w:t>
      </w:r>
    </w:p>
    <w:p w:rsidR="00B74088" w:rsidRPr="00EB46C8" w:rsidRDefault="00F1066E" w:rsidP="00B74088">
      <w:pPr>
        <w:ind w:firstLine="709"/>
        <w:contextualSpacing/>
        <w:jc w:val="both"/>
        <w:rPr>
          <w:rFonts w:ascii="Arial" w:hAnsi="Arial" w:cs="Arial"/>
        </w:rPr>
      </w:pPr>
      <w:r w:rsidRPr="00EB46C8">
        <w:rPr>
          <w:rFonts w:ascii="Arial" w:hAnsi="Arial" w:cs="Arial"/>
        </w:rPr>
        <w:t>Среди регионов ПФО по темпу роста показателя Чувашия заняла 9 место, среди субъектов Российской Федерации - 29 место.</w:t>
      </w:r>
    </w:p>
    <w:p w:rsidR="00F1066E" w:rsidRPr="00CC0619" w:rsidRDefault="00F1066E" w:rsidP="00B74088">
      <w:pPr>
        <w:ind w:firstLine="709"/>
        <w:contextualSpacing/>
        <w:jc w:val="both"/>
        <w:rPr>
          <w:rFonts w:ascii="Arial" w:hAnsi="Arial" w:cs="Arial"/>
          <w:color w:val="FF0000"/>
        </w:rPr>
      </w:pPr>
    </w:p>
    <w:p w:rsidR="00B935D6" w:rsidRPr="008E4AAF" w:rsidRDefault="00B935D6" w:rsidP="00B935D6">
      <w:pPr>
        <w:pStyle w:val="a8"/>
        <w:spacing w:before="0" w:beforeAutospacing="0" w:after="0" w:afterAutospacing="0" w:line="216" w:lineRule="auto"/>
        <w:jc w:val="center"/>
        <w:textAlignment w:val="baseline"/>
        <w:rPr>
          <w:sz w:val="26"/>
          <w:szCs w:val="26"/>
        </w:rPr>
      </w:pPr>
      <w:r w:rsidRPr="008E4AAF">
        <w:rPr>
          <w:rFonts w:ascii="Arial" w:eastAsia="Roboto" w:hAnsi="Arial" w:cs="Arial"/>
          <w:b/>
          <w:bCs/>
          <w:kern w:val="24"/>
          <w:sz w:val="26"/>
          <w:szCs w:val="26"/>
        </w:rPr>
        <w:t>Динамика объема платных услуг населению</w:t>
      </w:r>
    </w:p>
    <w:p w:rsidR="00B935D6" w:rsidRPr="008E4AAF" w:rsidRDefault="00952A8A" w:rsidP="00B935D6">
      <w:pPr>
        <w:pStyle w:val="a8"/>
        <w:spacing w:before="0" w:beforeAutospacing="0" w:after="0" w:afterAutospacing="0"/>
        <w:jc w:val="center"/>
        <w:textAlignment w:val="baseline"/>
        <w:rPr>
          <w:sz w:val="20"/>
        </w:rPr>
      </w:pPr>
      <w:r w:rsidRPr="008E4AAF">
        <w:rPr>
          <w:rFonts w:ascii="Arial" w:hAnsi="Arial" w:cs="Arial"/>
          <w:noProof/>
        </w:rPr>
        <w:drawing>
          <wp:anchor distT="0" distB="0" distL="114300" distR="114300" simplePos="0" relativeHeight="251686912" behindDoc="0" locked="0" layoutInCell="1" allowOverlap="1" wp14:anchorId="6BE10D62" wp14:editId="33CB6B6D">
            <wp:simplePos x="0" y="0"/>
            <wp:positionH relativeFrom="column">
              <wp:posOffset>-27940</wp:posOffset>
            </wp:positionH>
            <wp:positionV relativeFrom="paragraph">
              <wp:posOffset>113030</wp:posOffset>
            </wp:positionV>
            <wp:extent cx="6092190" cy="1934845"/>
            <wp:effectExtent l="0" t="0" r="0" b="0"/>
            <wp:wrapTight wrapText="bothSides">
              <wp:wrapPolygon edited="0">
                <wp:start x="2229" y="213"/>
                <wp:lineTo x="68" y="638"/>
                <wp:lineTo x="68" y="3828"/>
                <wp:lineTo x="2837" y="4041"/>
                <wp:lineTo x="68" y="5317"/>
                <wp:lineTo x="68" y="6380"/>
                <wp:lineTo x="1959" y="7443"/>
                <wp:lineTo x="675" y="9145"/>
                <wp:lineTo x="0" y="10208"/>
                <wp:lineTo x="68" y="11059"/>
                <wp:lineTo x="10807" y="14249"/>
                <wp:lineTo x="270" y="14461"/>
                <wp:lineTo x="270" y="16588"/>
                <wp:lineTo x="10807" y="17651"/>
                <wp:lineTo x="4863" y="19778"/>
                <wp:lineTo x="4863" y="20841"/>
                <wp:lineTo x="10064" y="21267"/>
                <wp:lineTo x="10469" y="21267"/>
                <wp:lineTo x="11550" y="20841"/>
                <wp:lineTo x="11617" y="20416"/>
                <wp:lineTo x="10807" y="17651"/>
                <wp:lineTo x="21141" y="16801"/>
                <wp:lineTo x="21141" y="15737"/>
                <wp:lineTo x="10739" y="14249"/>
                <wp:lineTo x="8578" y="10846"/>
                <wp:lineTo x="20938" y="10633"/>
                <wp:lineTo x="20871" y="7869"/>
                <wp:lineTo x="14859" y="7443"/>
                <wp:lineTo x="18439" y="6593"/>
                <wp:lineTo x="18371" y="4041"/>
                <wp:lineTo x="18642" y="4041"/>
                <wp:lineTo x="19857" y="1276"/>
                <wp:lineTo x="19857" y="213"/>
                <wp:lineTo x="2229" y="213"/>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B935D6" w:rsidRPr="008E4AAF">
        <w:rPr>
          <w:rFonts w:ascii="Arial" w:eastAsia="Segoe UI Black" w:hAnsi="Arial" w:cs="Arial"/>
          <w:i/>
          <w:iCs/>
          <w:sz w:val="18"/>
          <w:szCs w:val="22"/>
        </w:rPr>
        <w:t xml:space="preserve">в сопоставимых  ценах </w:t>
      </w:r>
      <w:proofErr w:type="gramStart"/>
      <w:r w:rsidR="00B935D6" w:rsidRPr="008E4AAF">
        <w:rPr>
          <w:rFonts w:ascii="Arial" w:eastAsia="Segoe UI Black" w:hAnsi="Arial" w:cs="Arial"/>
          <w:i/>
          <w:iCs/>
          <w:sz w:val="18"/>
          <w:szCs w:val="22"/>
        </w:rPr>
        <w:t>в</w:t>
      </w:r>
      <w:proofErr w:type="gramEnd"/>
      <w:r w:rsidR="00B935D6" w:rsidRPr="008E4AAF">
        <w:rPr>
          <w:rFonts w:ascii="Arial" w:eastAsia="Segoe UI Black" w:hAnsi="Arial" w:cs="Arial"/>
          <w:i/>
          <w:iCs/>
          <w:sz w:val="18"/>
          <w:szCs w:val="22"/>
        </w:rPr>
        <w:t xml:space="preserve"> % к соответствующему периоду предыдущего года</w:t>
      </w:r>
    </w:p>
    <w:p w:rsidR="00B935D6" w:rsidRPr="00CC0619" w:rsidRDefault="00B935D6" w:rsidP="004E58D5">
      <w:pPr>
        <w:ind w:firstLine="709"/>
        <w:contextualSpacing/>
        <w:jc w:val="both"/>
        <w:rPr>
          <w:rFonts w:ascii="Arial" w:hAnsi="Arial" w:cs="Arial"/>
          <w:color w:val="FF0000"/>
        </w:rPr>
      </w:pPr>
    </w:p>
    <w:p w:rsidR="00B935D6" w:rsidRPr="00CC0619" w:rsidRDefault="00B935D6" w:rsidP="004E58D5">
      <w:pPr>
        <w:ind w:firstLine="709"/>
        <w:contextualSpacing/>
        <w:jc w:val="both"/>
        <w:rPr>
          <w:rFonts w:ascii="Arial" w:hAnsi="Arial" w:cs="Arial"/>
          <w:color w:val="FF0000"/>
        </w:rPr>
      </w:pPr>
    </w:p>
    <w:p w:rsidR="00B935D6" w:rsidRPr="00CC0619" w:rsidRDefault="00B935D6" w:rsidP="004E58D5">
      <w:pPr>
        <w:ind w:firstLine="709"/>
        <w:contextualSpacing/>
        <w:jc w:val="both"/>
        <w:rPr>
          <w:rFonts w:ascii="Arial" w:hAnsi="Arial" w:cs="Arial"/>
          <w:color w:val="FF0000"/>
        </w:rPr>
      </w:pPr>
    </w:p>
    <w:p w:rsidR="00913D7F" w:rsidRPr="00CC0619" w:rsidRDefault="00913D7F" w:rsidP="00913D7F">
      <w:pPr>
        <w:contextualSpacing/>
        <w:jc w:val="both"/>
        <w:rPr>
          <w:rFonts w:ascii="Arial" w:hAnsi="Arial" w:cs="Arial"/>
          <w:color w:val="FF0000"/>
        </w:rPr>
      </w:pPr>
    </w:p>
    <w:p w:rsidR="00B935D6" w:rsidRPr="00CC0619" w:rsidRDefault="00B935D6" w:rsidP="004E58D5">
      <w:pPr>
        <w:ind w:firstLine="709"/>
        <w:contextualSpacing/>
        <w:jc w:val="both"/>
        <w:rPr>
          <w:rFonts w:ascii="Arial" w:hAnsi="Arial" w:cs="Arial"/>
          <w:color w:val="FF0000"/>
        </w:rPr>
      </w:pPr>
    </w:p>
    <w:p w:rsidR="00B935D6" w:rsidRDefault="00B935D6" w:rsidP="004E58D5">
      <w:pPr>
        <w:ind w:firstLine="709"/>
        <w:contextualSpacing/>
        <w:jc w:val="both"/>
        <w:rPr>
          <w:rFonts w:ascii="Arial" w:hAnsi="Arial" w:cs="Arial"/>
          <w:color w:val="FF0000"/>
        </w:rPr>
      </w:pPr>
    </w:p>
    <w:p w:rsidR="00952A8A" w:rsidRDefault="00952A8A" w:rsidP="004E58D5">
      <w:pPr>
        <w:ind w:firstLine="709"/>
        <w:contextualSpacing/>
        <w:jc w:val="both"/>
        <w:rPr>
          <w:rFonts w:ascii="Arial" w:hAnsi="Arial" w:cs="Arial"/>
          <w:color w:val="FF0000"/>
        </w:rPr>
      </w:pPr>
    </w:p>
    <w:p w:rsidR="00952A8A" w:rsidRPr="00CC0619" w:rsidRDefault="00952A8A" w:rsidP="004E58D5">
      <w:pPr>
        <w:ind w:firstLine="709"/>
        <w:contextualSpacing/>
        <w:jc w:val="both"/>
        <w:rPr>
          <w:rFonts w:ascii="Arial" w:hAnsi="Arial" w:cs="Arial"/>
          <w:color w:val="FF0000"/>
        </w:rPr>
      </w:pPr>
    </w:p>
    <w:p w:rsidR="00395AE6" w:rsidRPr="00F93C22" w:rsidRDefault="005B1202" w:rsidP="00395AE6">
      <w:pPr>
        <w:ind w:firstLine="709"/>
        <w:contextualSpacing/>
        <w:jc w:val="both"/>
        <w:rPr>
          <w:rFonts w:ascii="Arial" w:hAnsi="Arial" w:cs="Arial"/>
        </w:rPr>
      </w:pPr>
      <w:r w:rsidRPr="00F93C22">
        <w:rPr>
          <w:rFonts w:ascii="Arial" w:hAnsi="Arial" w:cs="Arial"/>
        </w:rPr>
        <w:t xml:space="preserve">За </w:t>
      </w:r>
      <w:r w:rsidR="00395AE6" w:rsidRPr="00F93C22">
        <w:rPr>
          <w:rFonts w:ascii="Arial" w:hAnsi="Arial" w:cs="Arial"/>
        </w:rPr>
        <w:t xml:space="preserve">отчетный </w:t>
      </w:r>
      <w:r w:rsidRPr="00F93C22">
        <w:rPr>
          <w:rFonts w:ascii="Arial" w:hAnsi="Arial" w:cs="Arial"/>
        </w:rPr>
        <w:t xml:space="preserve">период </w:t>
      </w:r>
      <w:r w:rsidR="00395AE6" w:rsidRPr="00F93C22">
        <w:rPr>
          <w:rFonts w:ascii="Arial" w:hAnsi="Arial" w:cs="Arial"/>
        </w:rPr>
        <w:t>увеличились объемы услуг</w:t>
      </w:r>
      <w:r w:rsidR="00F1066E" w:rsidRPr="00F93C22">
        <w:rPr>
          <w:rFonts w:ascii="Arial" w:hAnsi="Arial" w:cs="Arial"/>
        </w:rPr>
        <w:t xml:space="preserve"> санаторно-курортных орг</w:t>
      </w:r>
      <w:r w:rsidR="00F1066E" w:rsidRPr="00F93C22">
        <w:rPr>
          <w:rFonts w:ascii="Arial" w:hAnsi="Arial" w:cs="Arial"/>
        </w:rPr>
        <w:t>а</w:t>
      </w:r>
      <w:r w:rsidR="00F1066E" w:rsidRPr="00F93C22">
        <w:rPr>
          <w:rFonts w:ascii="Arial" w:hAnsi="Arial" w:cs="Arial"/>
        </w:rPr>
        <w:t>низаций (на 24,8%), курьерской доставки (на 14,1%)</w:t>
      </w:r>
      <w:r w:rsidR="00395AE6" w:rsidRPr="00F93C22">
        <w:rPr>
          <w:rFonts w:ascii="Arial" w:hAnsi="Arial" w:cs="Arial"/>
        </w:rPr>
        <w:t>,</w:t>
      </w:r>
      <w:r w:rsidR="00F1066E" w:rsidRPr="00F93C22">
        <w:rPr>
          <w:rFonts w:ascii="Arial" w:hAnsi="Arial" w:cs="Arial"/>
        </w:rPr>
        <w:t xml:space="preserve"> </w:t>
      </w:r>
      <w:r w:rsidR="00F93C22" w:rsidRPr="00F93C22">
        <w:rPr>
          <w:rFonts w:ascii="Arial" w:hAnsi="Arial" w:cs="Arial"/>
        </w:rPr>
        <w:t xml:space="preserve">культуры (на 11,9%), </w:t>
      </w:r>
      <w:r w:rsidR="00F1066E" w:rsidRPr="00F93C22">
        <w:rPr>
          <w:rFonts w:ascii="Arial" w:hAnsi="Arial" w:cs="Arial"/>
        </w:rPr>
        <w:t>мед</w:t>
      </w:r>
      <w:r w:rsidR="00F1066E" w:rsidRPr="00F93C22">
        <w:rPr>
          <w:rFonts w:ascii="Arial" w:hAnsi="Arial" w:cs="Arial"/>
        </w:rPr>
        <w:t>и</w:t>
      </w:r>
      <w:r w:rsidR="00F1066E" w:rsidRPr="00F93C22">
        <w:rPr>
          <w:rFonts w:ascii="Arial" w:hAnsi="Arial" w:cs="Arial"/>
        </w:rPr>
        <w:t>цинские (на 8%)</w:t>
      </w:r>
      <w:r w:rsidR="00F93C22" w:rsidRPr="00F93C22">
        <w:rPr>
          <w:rFonts w:ascii="Arial" w:hAnsi="Arial" w:cs="Arial"/>
        </w:rPr>
        <w:t>,</w:t>
      </w:r>
      <w:r w:rsidR="00F93C22">
        <w:rPr>
          <w:rFonts w:ascii="Arial" w:hAnsi="Arial" w:cs="Arial"/>
          <w:color w:val="FF0000"/>
        </w:rPr>
        <w:t xml:space="preserve"> </w:t>
      </w:r>
      <w:r w:rsidR="00F93C22" w:rsidRPr="00F93C22">
        <w:rPr>
          <w:rFonts w:ascii="Arial" w:hAnsi="Arial" w:cs="Arial"/>
        </w:rPr>
        <w:t xml:space="preserve">бытовые услуги (на 5,1%). </w:t>
      </w:r>
      <w:r w:rsidR="00395AE6" w:rsidRPr="00F93C22">
        <w:rPr>
          <w:rFonts w:ascii="Arial" w:hAnsi="Arial" w:cs="Arial"/>
        </w:rPr>
        <w:t xml:space="preserve">Снизились объемы </w:t>
      </w:r>
      <w:r w:rsidR="00F93C22" w:rsidRPr="00F93C22">
        <w:rPr>
          <w:rFonts w:ascii="Arial" w:hAnsi="Arial" w:cs="Arial"/>
        </w:rPr>
        <w:t xml:space="preserve">услуг туристских </w:t>
      </w:r>
      <w:r w:rsidR="00F93C22" w:rsidRPr="00F93C22">
        <w:rPr>
          <w:rFonts w:ascii="Arial" w:hAnsi="Arial" w:cs="Arial"/>
        </w:rPr>
        <w:lastRenderedPageBreak/>
        <w:t xml:space="preserve">организаций (на 11,4%), гостиниц (на 6,5%), услуги, предоставляемые гражданам пожилого возраста и инвалидам (на 8,1%), </w:t>
      </w:r>
      <w:r w:rsidR="00395AE6" w:rsidRPr="00F93C22">
        <w:rPr>
          <w:rFonts w:ascii="Arial" w:hAnsi="Arial" w:cs="Arial"/>
        </w:rPr>
        <w:t>юридических (</w:t>
      </w:r>
      <w:r w:rsidR="00F93C22" w:rsidRPr="00F93C22">
        <w:rPr>
          <w:rFonts w:ascii="Arial" w:hAnsi="Arial" w:cs="Arial"/>
        </w:rPr>
        <w:t>на 2,3</w:t>
      </w:r>
      <w:r w:rsidR="00395AE6" w:rsidRPr="00F93C22">
        <w:rPr>
          <w:rFonts w:ascii="Arial" w:hAnsi="Arial" w:cs="Arial"/>
        </w:rPr>
        <w:t>%), ветеринарных (</w:t>
      </w:r>
      <w:r w:rsidR="00F93C22" w:rsidRPr="00F93C22">
        <w:rPr>
          <w:rFonts w:ascii="Arial" w:hAnsi="Arial" w:cs="Arial"/>
        </w:rPr>
        <w:t>на 2,2</w:t>
      </w:r>
      <w:r w:rsidR="00395AE6" w:rsidRPr="00F93C22">
        <w:rPr>
          <w:rFonts w:ascii="Arial" w:hAnsi="Arial" w:cs="Arial"/>
        </w:rPr>
        <w:t xml:space="preserve">%), </w:t>
      </w:r>
      <w:r w:rsidR="00F93C22" w:rsidRPr="00F93C22">
        <w:rPr>
          <w:rFonts w:ascii="Arial" w:hAnsi="Arial" w:cs="Arial"/>
        </w:rPr>
        <w:t>системы образования</w:t>
      </w:r>
      <w:r w:rsidR="00395AE6" w:rsidRPr="00F93C22">
        <w:rPr>
          <w:rFonts w:ascii="Arial" w:hAnsi="Arial" w:cs="Arial"/>
        </w:rPr>
        <w:t xml:space="preserve"> (</w:t>
      </w:r>
      <w:proofErr w:type="gramStart"/>
      <w:r w:rsidR="00F93C22" w:rsidRPr="00F93C22">
        <w:rPr>
          <w:rFonts w:ascii="Arial" w:hAnsi="Arial" w:cs="Arial"/>
        </w:rPr>
        <w:t>на</w:t>
      </w:r>
      <w:proofErr w:type="gramEnd"/>
      <w:r w:rsidR="00F93C22" w:rsidRPr="00F93C22">
        <w:rPr>
          <w:rFonts w:ascii="Arial" w:hAnsi="Arial" w:cs="Arial"/>
        </w:rPr>
        <w:t xml:space="preserve"> 1,8</w:t>
      </w:r>
      <w:r w:rsidR="00395AE6" w:rsidRPr="00F93C22">
        <w:rPr>
          <w:rFonts w:ascii="Arial" w:hAnsi="Arial" w:cs="Arial"/>
        </w:rPr>
        <w:t>%).</w:t>
      </w:r>
      <w:r w:rsidR="00F1066E" w:rsidRPr="00F93C22">
        <w:rPr>
          <w:rFonts w:ascii="Arial" w:hAnsi="Arial" w:cs="Arial"/>
        </w:rPr>
        <w:t xml:space="preserve"> </w:t>
      </w:r>
    </w:p>
    <w:p w:rsidR="00A578BB" w:rsidRPr="00CC0619" w:rsidRDefault="00A578BB" w:rsidP="004E58D5">
      <w:pPr>
        <w:ind w:firstLine="709"/>
        <w:contextualSpacing/>
        <w:jc w:val="both"/>
        <w:rPr>
          <w:rFonts w:ascii="Arial" w:hAnsi="Arial" w:cs="Arial"/>
          <w:color w:val="FF0000"/>
        </w:rPr>
      </w:pPr>
    </w:p>
    <w:p w:rsidR="00B935D6" w:rsidRPr="00CC0619" w:rsidRDefault="00691AD6" w:rsidP="004E58D5">
      <w:pPr>
        <w:ind w:firstLine="709"/>
        <w:contextualSpacing/>
        <w:jc w:val="both"/>
        <w:rPr>
          <w:rFonts w:ascii="Arial" w:hAnsi="Arial" w:cs="Arial"/>
          <w:color w:val="FF0000"/>
        </w:rPr>
      </w:pPr>
      <w:r w:rsidRPr="00CC0619">
        <w:rPr>
          <w:noProof/>
          <w:color w:val="FF0000"/>
        </w:rPr>
        <mc:AlternateContent>
          <mc:Choice Requires="wps">
            <w:drawing>
              <wp:anchor distT="0" distB="0" distL="114300" distR="114300" simplePos="0" relativeHeight="251689984" behindDoc="0" locked="0" layoutInCell="1" allowOverlap="1" wp14:anchorId="432DB9F0" wp14:editId="4C4309B3">
                <wp:simplePos x="0" y="0"/>
                <wp:positionH relativeFrom="column">
                  <wp:posOffset>740715</wp:posOffset>
                </wp:positionH>
                <wp:positionV relativeFrom="paragraph">
                  <wp:posOffset>22363</wp:posOffset>
                </wp:positionV>
                <wp:extent cx="4508030" cy="288290"/>
                <wp:effectExtent l="0" t="0" r="0" b="0"/>
                <wp:wrapNone/>
                <wp:docPr id="20" name="TextBox 6"/>
                <wp:cNvGraphicFramePr/>
                <a:graphic xmlns:a="http://schemas.openxmlformats.org/drawingml/2006/main">
                  <a:graphicData uri="http://schemas.microsoft.com/office/word/2010/wordprocessingShape">
                    <wps:wsp>
                      <wps:cNvSpPr txBox="1"/>
                      <wps:spPr>
                        <a:xfrm>
                          <a:off x="0" y="0"/>
                          <a:ext cx="4508030" cy="288290"/>
                        </a:xfrm>
                        <a:prstGeom prst="rect">
                          <a:avLst/>
                        </a:prstGeom>
                        <a:noFill/>
                      </wps:spPr>
                      <wps:txbx>
                        <w:txbxContent>
                          <w:p w:rsidR="00082EE0" w:rsidRPr="00691AD6" w:rsidRDefault="00082EE0"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wps:txbx>
                      <wps:bodyPr wrap="square" lIns="68535" tIns="34289" rIns="68535" bIns="34289"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58.3pt;margin-top:1.75pt;width:354.95pt;height:2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" filled="f" stroked="f">
                <v:textbox style="mso-fit-shape-to-text:t" inset="1.90375mm,.95247mm,1.90375mm,.95247mm">
                  <w:txbxContent>
                    <w:p w:rsidR="00082EE0" w:rsidRPr="00691AD6" w:rsidRDefault="00082EE0"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v:textbox>
              </v:shape>
            </w:pict>
          </mc:Fallback>
        </mc:AlternateContent>
      </w:r>
    </w:p>
    <w:p w:rsidR="00B935D6" w:rsidRPr="00CC0619" w:rsidRDefault="00A578BB" w:rsidP="008845D0">
      <w:pPr>
        <w:ind w:right="-427"/>
        <w:contextualSpacing/>
        <w:jc w:val="both"/>
        <w:rPr>
          <w:rFonts w:ascii="Arial" w:hAnsi="Arial" w:cs="Arial"/>
          <w:color w:val="FF0000"/>
        </w:rPr>
      </w:pPr>
      <w:r w:rsidRPr="00CC0619">
        <w:rPr>
          <w:rFonts w:ascii="Arial" w:hAnsi="Arial" w:cs="Arial"/>
          <w:noProof/>
          <w:color w:val="FF0000"/>
        </w:rPr>
        <w:drawing>
          <wp:inline distT="0" distB="0" distL="0" distR="0" wp14:anchorId="01669A15" wp14:editId="5831C20A">
            <wp:extent cx="2392326" cy="133970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828" cy="1340543"/>
                    </a:xfrm>
                    <a:prstGeom prst="rect">
                      <a:avLst/>
                    </a:prstGeom>
                    <a:noFill/>
                  </pic:spPr>
                </pic:pic>
              </a:graphicData>
            </a:graphic>
          </wp:inline>
        </w:drawing>
      </w:r>
      <w:r w:rsidR="00B26530">
        <w:rPr>
          <w:rFonts w:ascii="Arial" w:hAnsi="Arial" w:cs="Arial"/>
          <w:noProof/>
          <w:color w:val="FF0000"/>
        </w:rPr>
        <w:drawing>
          <wp:inline distT="0" distB="0" distL="0" distR="0" wp14:anchorId="42FC4250" wp14:editId="6288BE2B">
            <wp:extent cx="1518898" cy="133970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66095" b="-235"/>
                    <a:stretch/>
                  </pic:blipFill>
                  <pic:spPr bwMode="auto">
                    <a:xfrm>
                      <a:off x="0" y="0"/>
                      <a:ext cx="1518898" cy="1339703"/>
                    </a:xfrm>
                    <a:prstGeom prst="rect">
                      <a:avLst/>
                    </a:prstGeom>
                    <a:noFill/>
                    <a:ln>
                      <a:noFill/>
                    </a:ln>
                    <a:extLst>
                      <a:ext uri="{53640926-AAD7-44D8-BBD7-CCE9431645EC}">
                        <a14:shadowObscured xmlns:a14="http://schemas.microsoft.com/office/drawing/2010/main"/>
                      </a:ext>
                    </a:extLst>
                  </pic:spPr>
                </pic:pic>
              </a:graphicData>
            </a:graphic>
          </wp:inline>
        </w:drawing>
      </w:r>
      <w:r w:rsidR="008845D0" w:rsidRPr="008845D0">
        <w:rPr>
          <w:noProof/>
        </w:rPr>
        <w:t xml:space="preserve"> </w:t>
      </w:r>
      <w:r w:rsidR="00655EEB">
        <w:rPr>
          <w:noProof/>
        </w:rPr>
        <w:drawing>
          <wp:inline distT="0" distB="0" distL="0" distR="0" wp14:anchorId="13222A2A">
            <wp:extent cx="2254102" cy="11901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1205" cy="1188615"/>
                    </a:xfrm>
                    <a:prstGeom prst="rect">
                      <a:avLst/>
                    </a:prstGeom>
                    <a:noFill/>
                  </pic:spPr>
                </pic:pic>
              </a:graphicData>
            </a:graphic>
          </wp:inline>
        </w:drawing>
      </w:r>
    </w:p>
    <w:p w:rsidR="00B935D6" w:rsidRPr="00CC0619" w:rsidRDefault="008845D0" w:rsidP="004E58D5">
      <w:pPr>
        <w:ind w:firstLine="709"/>
        <w:contextualSpacing/>
        <w:jc w:val="both"/>
        <w:rPr>
          <w:rFonts w:ascii="Arial" w:hAnsi="Arial" w:cs="Arial"/>
          <w:color w:val="FF0000"/>
        </w:rPr>
      </w:pPr>
      <w:r w:rsidRPr="00CC0619">
        <w:rPr>
          <w:noProof/>
          <w:color w:val="FF0000"/>
        </w:rPr>
        <mc:AlternateContent>
          <mc:Choice Requires="wps">
            <w:drawing>
              <wp:anchor distT="0" distB="0" distL="114300" distR="114300" simplePos="0" relativeHeight="251698176" behindDoc="0" locked="0" layoutInCell="1" allowOverlap="1" wp14:anchorId="5C76507F" wp14:editId="41FB0814">
                <wp:simplePos x="0" y="0"/>
                <wp:positionH relativeFrom="column">
                  <wp:posOffset>3838014</wp:posOffset>
                </wp:positionH>
                <wp:positionV relativeFrom="paragraph">
                  <wp:posOffset>122555</wp:posOffset>
                </wp:positionV>
                <wp:extent cx="2359025" cy="260985"/>
                <wp:effectExtent l="0" t="0" r="0" b="0"/>
                <wp:wrapNone/>
                <wp:docPr id="27"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w:t>
                            </w:r>
                            <w:r w:rsidR="00BC764B">
                              <w:rPr>
                                <w:rFonts w:asciiTheme="minorHAnsi" w:hAnsi="Calibri" w:cstheme="minorBidi"/>
                                <w:b/>
                                <w:bCs/>
                                <w:color w:val="000000" w:themeColor="text1"/>
                                <w:kern w:val="24"/>
                                <w:sz w:val="22"/>
                                <w:szCs w:val="22"/>
                              </w:rPr>
                              <w:t>3</w:t>
                            </w:r>
                            <w:r w:rsidR="00082EE0">
                              <w:rPr>
                                <w:rFonts w:asciiTheme="minorHAnsi" w:hAnsi="Calibri" w:cstheme="minorBidi"/>
                                <w:b/>
                                <w:bCs/>
                                <w:color w:val="000000" w:themeColor="text1"/>
                                <w:kern w:val="24"/>
                                <w:sz w:val="22"/>
                                <w:szCs w:val="22"/>
                              </w:rPr>
                              <w:t xml:space="preserve"> г.</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left:0;text-align:left;margin-left:302.2pt;margin-top:9.65pt;width:185.75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" filled="f" stroked="f">
                <v:textbox style="mso-fit-shape-to-text:t">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w:t>
                      </w:r>
                      <w:r w:rsidR="00BC764B">
                        <w:rPr>
                          <w:rFonts w:asciiTheme="minorHAnsi" w:hAnsi="Calibri" w:cstheme="minorBidi"/>
                          <w:b/>
                          <w:bCs/>
                          <w:color w:val="000000" w:themeColor="text1"/>
                          <w:kern w:val="24"/>
                          <w:sz w:val="22"/>
                          <w:szCs w:val="22"/>
                        </w:rPr>
                        <w:t>3</w:t>
                      </w:r>
                      <w:r w:rsidR="00082EE0">
                        <w:rPr>
                          <w:rFonts w:asciiTheme="minorHAnsi" w:hAnsi="Calibri" w:cstheme="minorBidi"/>
                          <w:b/>
                          <w:bCs/>
                          <w:color w:val="000000" w:themeColor="text1"/>
                          <w:kern w:val="24"/>
                          <w:sz w:val="22"/>
                          <w:szCs w:val="22"/>
                        </w:rPr>
                        <w:t xml:space="preserve"> г.</w:t>
                      </w:r>
                    </w:p>
                  </w:txbxContent>
                </v:textbox>
              </v:shape>
            </w:pict>
          </mc:Fallback>
        </mc:AlternateContent>
      </w:r>
      <w:r w:rsidR="00BD051F" w:rsidRPr="00CC0619">
        <w:rPr>
          <w:noProof/>
          <w:color w:val="FF0000"/>
        </w:rPr>
        <mc:AlternateContent>
          <mc:Choice Requires="wps">
            <w:drawing>
              <wp:anchor distT="0" distB="0" distL="114300" distR="114300" simplePos="0" relativeHeight="251696128" behindDoc="0" locked="0" layoutInCell="1" allowOverlap="1" wp14:anchorId="5671CF57" wp14:editId="672C21E8">
                <wp:simplePos x="0" y="0"/>
                <wp:positionH relativeFrom="column">
                  <wp:posOffset>-38735</wp:posOffset>
                </wp:positionH>
                <wp:positionV relativeFrom="paragraph">
                  <wp:posOffset>128905</wp:posOffset>
                </wp:positionV>
                <wp:extent cx="2359025" cy="260985"/>
                <wp:effectExtent l="0" t="0" r="0" b="0"/>
                <wp:wrapNone/>
                <wp:docPr id="26"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w:t>
                            </w:r>
                            <w:r w:rsidR="00BC764B">
                              <w:rPr>
                                <w:rFonts w:asciiTheme="minorHAnsi" w:hAnsi="Calibri" w:cstheme="minorBidi"/>
                                <w:b/>
                                <w:bCs/>
                                <w:color w:val="000000" w:themeColor="text1"/>
                                <w:kern w:val="24"/>
                                <w:sz w:val="22"/>
                                <w:szCs w:val="22"/>
                              </w:rPr>
                              <w:t>2</w:t>
                            </w:r>
                            <w:r w:rsidR="00082EE0">
                              <w:rPr>
                                <w:rFonts w:asciiTheme="minorHAnsi" w:hAnsi="Calibri" w:cstheme="minorBidi"/>
                                <w:b/>
                                <w:bCs/>
                                <w:color w:val="000000" w:themeColor="text1"/>
                                <w:kern w:val="24"/>
                                <w:sz w:val="22"/>
                                <w:szCs w:val="22"/>
                              </w:rPr>
                              <w:t xml:space="preserve"> г.</w:t>
                            </w:r>
                          </w:p>
                        </w:txbxContent>
                      </wps:txbx>
                      <wps:bodyPr wrap="square" rtlCol="0">
                        <a:spAutoFit/>
                      </wps:bodyPr>
                    </wps:wsp>
                  </a:graphicData>
                </a:graphic>
              </wp:anchor>
            </w:drawing>
          </mc:Choice>
          <mc:Fallback>
            <w:pict>
              <v:shape id="_x0000_s1028" type="#_x0000_t202" style="position:absolute;left:0;text-align:left;margin-left:-3.05pt;margin-top:10.15pt;width:185.75pt;height:20.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" filled="f" stroked="f">
                <v:textbox style="mso-fit-shape-to-text:t">
                  <w:txbxContent>
                    <w:p w:rsidR="00082EE0" w:rsidRDefault="00395AE6" w:rsidP="00BD051F">
                      <w:pPr>
                        <w:pStyle w:val="a8"/>
                        <w:spacing w:before="0" w:beforeAutospacing="0" w:after="0" w:afterAutospacing="0"/>
                        <w:jc w:val="center"/>
                      </w:pPr>
                      <w:r>
                        <w:rPr>
                          <w:rFonts w:asciiTheme="minorHAnsi" w:hAnsi="Calibri" w:cstheme="minorBidi"/>
                          <w:b/>
                          <w:bCs/>
                          <w:color w:val="000000" w:themeColor="text1"/>
                          <w:kern w:val="24"/>
                          <w:sz w:val="22"/>
                          <w:szCs w:val="22"/>
                        </w:rPr>
                        <w:t>9 месяцев</w:t>
                      </w:r>
                      <w:r w:rsidR="00082EE0">
                        <w:rPr>
                          <w:rFonts w:asciiTheme="minorHAnsi" w:hAnsi="Calibri" w:cstheme="minorBidi"/>
                          <w:b/>
                          <w:bCs/>
                          <w:color w:val="000000" w:themeColor="text1"/>
                          <w:kern w:val="24"/>
                          <w:sz w:val="22"/>
                          <w:szCs w:val="22"/>
                        </w:rPr>
                        <w:t xml:space="preserve"> 202</w:t>
                      </w:r>
                      <w:r w:rsidR="00BC764B">
                        <w:rPr>
                          <w:rFonts w:asciiTheme="minorHAnsi" w:hAnsi="Calibri" w:cstheme="minorBidi"/>
                          <w:b/>
                          <w:bCs/>
                          <w:color w:val="000000" w:themeColor="text1"/>
                          <w:kern w:val="24"/>
                          <w:sz w:val="22"/>
                          <w:szCs w:val="22"/>
                        </w:rPr>
                        <w:t>2</w:t>
                      </w:r>
                      <w:r w:rsidR="00082EE0">
                        <w:rPr>
                          <w:rFonts w:asciiTheme="minorHAnsi" w:hAnsi="Calibri" w:cstheme="minorBidi"/>
                          <w:b/>
                          <w:bCs/>
                          <w:color w:val="000000" w:themeColor="text1"/>
                          <w:kern w:val="24"/>
                          <w:sz w:val="22"/>
                          <w:szCs w:val="22"/>
                        </w:rPr>
                        <w:t xml:space="preserve"> г.</w:t>
                      </w:r>
                    </w:p>
                  </w:txbxContent>
                </v:textbox>
              </v:shape>
            </w:pict>
          </mc:Fallback>
        </mc:AlternateContent>
      </w:r>
    </w:p>
    <w:p w:rsidR="00B935D6" w:rsidRPr="00CC0619" w:rsidRDefault="00B935D6" w:rsidP="004E58D5">
      <w:pPr>
        <w:ind w:firstLine="709"/>
        <w:contextualSpacing/>
        <w:jc w:val="both"/>
        <w:rPr>
          <w:rFonts w:ascii="Arial" w:hAnsi="Arial" w:cs="Arial"/>
          <w:color w:val="FF0000"/>
        </w:rPr>
      </w:pPr>
    </w:p>
    <w:p w:rsidR="00B26530" w:rsidRDefault="00B26530" w:rsidP="00A578BB">
      <w:pPr>
        <w:ind w:firstLine="709"/>
        <w:contextualSpacing/>
        <w:jc w:val="both"/>
        <w:rPr>
          <w:rFonts w:ascii="Arial" w:hAnsi="Arial" w:cs="Arial"/>
        </w:rPr>
      </w:pPr>
    </w:p>
    <w:p w:rsidR="00A578BB" w:rsidRPr="00637197" w:rsidRDefault="00A578BB" w:rsidP="00A578BB">
      <w:pPr>
        <w:ind w:firstLine="709"/>
        <w:contextualSpacing/>
        <w:jc w:val="both"/>
        <w:rPr>
          <w:rFonts w:ascii="Arial" w:hAnsi="Arial" w:cs="Arial"/>
        </w:rPr>
      </w:pPr>
      <w:r w:rsidRPr="00637197">
        <w:rPr>
          <w:rFonts w:ascii="Arial" w:hAnsi="Arial" w:cs="Arial"/>
        </w:rPr>
        <w:t>В структуре объема платных услуг за январь-сентябрь 202</w:t>
      </w:r>
      <w:r w:rsidR="00EB46C8" w:rsidRPr="00637197">
        <w:rPr>
          <w:rFonts w:ascii="Arial" w:hAnsi="Arial" w:cs="Arial"/>
        </w:rPr>
        <w:t>3</w:t>
      </w:r>
      <w:r w:rsidRPr="00637197">
        <w:rPr>
          <w:rFonts w:ascii="Arial" w:hAnsi="Arial" w:cs="Arial"/>
        </w:rPr>
        <w:t xml:space="preserve"> г. 8</w:t>
      </w:r>
      <w:r w:rsidR="00637197" w:rsidRPr="00637197">
        <w:rPr>
          <w:rFonts w:ascii="Arial" w:hAnsi="Arial" w:cs="Arial"/>
        </w:rPr>
        <w:t>7,5</w:t>
      </w:r>
      <w:r w:rsidRPr="00637197">
        <w:rPr>
          <w:rFonts w:ascii="Arial" w:hAnsi="Arial" w:cs="Arial"/>
        </w:rPr>
        <w:t>% в сов</w:t>
      </w:r>
      <w:r w:rsidRPr="00637197">
        <w:rPr>
          <w:rFonts w:ascii="Arial" w:hAnsi="Arial" w:cs="Arial"/>
        </w:rPr>
        <w:t>о</w:t>
      </w:r>
      <w:r w:rsidRPr="00637197">
        <w:rPr>
          <w:rFonts w:ascii="Arial" w:hAnsi="Arial" w:cs="Arial"/>
        </w:rPr>
        <w:t xml:space="preserve">купности приходится на коммунальные (24%), бытовые (13,9%), </w:t>
      </w:r>
      <w:r w:rsidR="00637197" w:rsidRPr="00637197">
        <w:rPr>
          <w:rFonts w:ascii="Arial" w:hAnsi="Arial" w:cs="Arial"/>
        </w:rPr>
        <w:t xml:space="preserve">транспортные (13,6%), </w:t>
      </w:r>
      <w:r w:rsidRPr="00637197">
        <w:rPr>
          <w:rFonts w:ascii="Arial" w:hAnsi="Arial" w:cs="Arial"/>
        </w:rPr>
        <w:t>телекоммуникационные (1</w:t>
      </w:r>
      <w:r w:rsidR="00EB46C8" w:rsidRPr="00637197">
        <w:rPr>
          <w:rFonts w:ascii="Arial" w:hAnsi="Arial" w:cs="Arial"/>
        </w:rPr>
        <w:t>2,9</w:t>
      </w:r>
      <w:r w:rsidRPr="00637197">
        <w:rPr>
          <w:rFonts w:ascii="Arial" w:hAnsi="Arial" w:cs="Arial"/>
        </w:rPr>
        <w:t>%), медицинские (</w:t>
      </w:r>
      <w:r w:rsidR="00EB46C8" w:rsidRPr="00637197">
        <w:rPr>
          <w:rFonts w:ascii="Arial" w:hAnsi="Arial" w:cs="Arial"/>
        </w:rPr>
        <w:t>9</w:t>
      </w:r>
      <w:r w:rsidRPr="00637197">
        <w:rPr>
          <w:rFonts w:ascii="Arial" w:hAnsi="Arial" w:cs="Arial"/>
        </w:rPr>
        <w:t>%), жилищные (8,</w:t>
      </w:r>
      <w:r w:rsidR="00EB46C8" w:rsidRPr="00637197">
        <w:rPr>
          <w:rFonts w:ascii="Arial" w:hAnsi="Arial" w:cs="Arial"/>
        </w:rPr>
        <w:t>1</w:t>
      </w:r>
      <w:r w:rsidRPr="00637197">
        <w:rPr>
          <w:rFonts w:ascii="Arial" w:hAnsi="Arial" w:cs="Arial"/>
        </w:rPr>
        <w:t>%) услуги</w:t>
      </w:r>
      <w:r w:rsidR="00EB46C8" w:rsidRPr="00637197">
        <w:rPr>
          <w:rFonts w:ascii="Arial" w:hAnsi="Arial" w:cs="Arial"/>
        </w:rPr>
        <w:t xml:space="preserve"> и услуги системы образования (6%)</w:t>
      </w:r>
      <w:r w:rsidRPr="00637197">
        <w:rPr>
          <w:rFonts w:ascii="Arial" w:hAnsi="Arial" w:cs="Arial"/>
        </w:rPr>
        <w:t xml:space="preserve">. </w:t>
      </w:r>
    </w:p>
    <w:p w:rsidR="005B1202" w:rsidRPr="00637197" w:rsidRDefault="005B1202" w:rsidP="005B1202">
      <w:pPr>
        <w:ind w:firstLine="709"/>
        <w:contextualSpacing/>
        <w:jc w:val="both"/>
        <w:rPr>
          <w:rFonts w:ascii="Arial" w:hAnsi="Arial" w:cs="Arial"/>
        </w:rPr>
      </w:pPr>
      <w:r w:rsidRPr="00637197">
        <w:rPr>
          <w:rFonts w:ascii="Arial" w:hAnsi="Arial" w:cs="Arial"/>
        </w:rPr>
        <w:t xml:space="preserve">Общий объем реализованных населению бытовых услуг составил </w:t>
      </w:r>
      <w:r w:rsidRPr="00637197">
        <w:rPr>
          <w:rFonts w:ascii="Arial" w:hAnsi="Arial" w:cs="Arial"/>
        </w:rPr>
        <w:br/>
      </w:r>
      <w:r w:rsidR="00637197" w:rsidRPr="00637197">
        <w:rPr>
          <w:rFonts w:ascii="Arial" w:hAnsi="Arial" w:cs="Arial"/>
        </w:rPr>
        <w:t>7,1</w:t>
      </w:r>
      <w:r w:rsidRPr="00637197">
        <w:rPr>
          <w:rFonts w:ascii="Arial" w:hAnsi="Arial" w:cs="Arial"/>
        </w:rPr>
        <w:t xml:space="preserve"> млрд. рублей, или </w:t>
      </w:r>
      <w:r w:rsidR="00637197" w:rsidRPr="00637197">
        <w:rPr>
          <w:rFonts w:ascii="Arial" w:hAnsi="Arial" w:cs="Arial"/>
        </w:rPr>
        <w:t>105,1</w:t>
      </w:r>
      <w:r w:rsidRPr="00637197">
        <w:rPr>
          <w:rFonts w:ascii="Arial" w:hAnsi="Arial" w:cs="Arial"/>
        </w:rPr>
        <w:t xml:space="preserve">% к </w:t>
      </w:r>
      <w:r w:rsidR="008A55C8" w:rsidRPr="00637197">
        <w:rPr>
          <w:rFonts w:ascii="Arial" w:hAnsi="Arial" w:cs="Arial"/>
        </w:rPr>
        <w:t xml:space="preserve">январю-сентябрю </w:t>
      </w:r>
      <w:r w:rsidRPr="00637197">
        <w:rPr>
          <w:rFonts w:ascii="Arial" w:hAnsi="Arial" w:cs="Arial"/>
        </w:rPr>
        <w:t>202</w:t>
      </w:r>
      <w:r w:rsidR="00637197" w:rsidRPr="00637197">
        <w:rPr>
          <w:rFonts w:ascii="Arial" w:hAnsi="Arial" w:cs="Arial"/>
        </w:rPr>
        <w:t>2</w:t>
      </w:r>
      <w:r w:rsidRPr="00637197">
        <w:rPr>
          <w:rFonts w:ascii="Arial" w:hAnsi="Arial" w:cs="Arial"/>
        </w:rPr>
        <w:t xml:space="preserve"> г. Увеличились объемы услуг по </w:t>
      </w:r>
      <w:r w:rsidR="00637197" w:rsidRPr="00637197">
        <w:rPr>
          <w:rFonts w:ascii="Arial" w:hAnsi="Arial" w:cs="Arial"/>
        </w:rPr>
        <w:t>аренде, лизингу и прокату</w:t>
      </w:r>
      <w:r w:rsidRPr="00637197">
        <w:rPr>
          <w:rFonts w:ascii="Arial" w:hAnsi="Arial" w:cs="Arial"/>
        </w:rPr>
        <w:t xml:space="preserve"> (на </w:t>
      </w:r>
      <w:r w:rsidR="00637197" w:rsidRPr="00637197">
        <w:rPr>
          <w:rFonts w:ascii="Arial" w:hAnsi="Arial" w:cs="Arial"/>
        </w:rPr>
        <w:t>15</w:t>
      </w:r>
      <w:r w:rsidRPr="00637197">
        <w:rPr>
          <w:rFonts w:ascii="Arial" w:hAnsi="Arial" w:cs="Arial"/>
        </w:rPr>
        <w:t xml:space="preserve">%), саун, бань и душевых (на </w:t>
      </w:r>
      <w:r w:rsidR="008A55C8" w:rsidRPr="00637197">
        <w:rPr>
          <w:rFonts w:ascii="Arial" w:hAnsi="Arial" w:cs="Arial"/>
        </w:rPr>
        <w:t>8,</w:t>
      </w:r>
      <w:r w:rsidR="00637197" w:rsidRPr="00637197">
        <w:rPr>
          <w:rFonts w:ascii="Arial" w:hAnsi="Arial" w:cs="Arial"/>
        </w:rPr>
        <w:t>8</w:t>
      </w:r>
      <w:r w:rsidRPr="00637197">
        <w:rPr>
          <w:rFonts w:ascii="Arial" w:hAnsi="Arial" w:cs="Arial"/>
        </w:rPr>
        <w:t>%)</w:t>
      </w:r>
      <w:r w:rsidR="00637197" w:rsidRPr="00637197">
        <w:rPr>
          <w:rFonts w:ascii="Arial" w:hAnsi="Arial" w:cs="Arial"/>
        </w:rPr>
        <w:t>, п</w:t>
      </w:r>
      <w:r w:rsidR="00637197" w:rsidRPr="00637197">
        <w:rPr>
          <w:rFonts w:ascii="Arial" w:hAnsi="Arial" w:cs="Arial"/>
        </w:rPr>
        <w:t>а</w:t>
      </w:r>
      <w:r w:rsidR="00637197" w:rsidRPr="00637197">
        <w:rPr>
          <w:rFonts w:ascii="Arial" w:hAnsi="Arial" w:cs="Arial"/>
        </w:rPr>
        <w:t>рикмахерские и косметические услуги (на 7,3%), ремонт бытовой техники (на 10,9%)</w:t>
      </w:r>
      <w:r w:rsidRPr="00637197">
        <w:rPr>
          <w:rFonts w:ascii="Arial" w:hAnsi="Arial" w:cs="Arial"/>
        </w:rPr>
        <w:t xml:space="preserve">. </w:t>
      </w:r>
    </w:p>
    <w:p w:rsidR="005B1202" w:rsidRPr="00637197" w:rsidRDefault="005B1202" w:rsidP="005B1202">
      <w:pPr>
        <w:ind w:firstLine="709"/>
        <w:contextualSpacing/>
        <w:jc w:val="both"/>
        <w:rPr>
          <w:rFonts w:ascii="Arial" w:hAnsi="Arial" w:cs="Arial"/>
        </w:rPr>
      </w:pPr>
      <w:r w:rsidRPr="00637197">
        <w:rPr>
          <w:rFonts w:ascii="Arial" w:hAnsi="Arial" w:cs="Arial"/>
        </w:rPr>
        <w:t xml:space="preserve">В структуре объема бытовых услуг </w:t>
      </w:r>
      <w:r w:rsidR="00637197" w:rsidRPr="00637197">
        <w:rPr>
          <w:rFonts w:ascii="Arial" w:hAnsi="Arial" w:cs="Arial"/>
        </w:rPr>
        <w:t>69,4</w:t>
      </w:r>
      <w:r w:rsidRPr="00637197">
        <w:rPr>
          <w:rFonts w:ascii="Arial" w:hAnsi="Arial" w:cs="Arial"/>
        </w:rPr>
        <w:t>% приходилось на услуги по ремонту и строительству жилья и других построек, техобслуживанию и ремонту транспор</w:t>
      </w:r>
      <w:r w:rsidRPr="00637197">
        <w:rPr>
          <w:rFonts w:ascii="Arial" w:hAnsi="Arial" w:cs="Arial"/>
        </w:rPr>
        <w:t>т</w:t>
      </w:r>
      <w:r w:rsidRPr="00637197">
        <w:rPr>
          <w:rFonts w:ascii="Arial" w:hAnsi="Arial" w:cs="Arial"/>
        </w:rPr>
        <w:t>ных средств, машин и оборудования, парикмахерские услуги.</w:t>
      </w:r>
    </w:p>
    <w:p w:rsidR="0076773E" w:rsidRPr="008845D0" w:rsidRDefault="00A5791B" w:rsidP="0076773E">
      <w:pPr>
        <w:ind w:firstLine="709"/>
        <w:contextualSpacing/>
        <w:jc w:val="both"/>
        <w:rPr>
          <w:rFonts w:ascii="Arial" w:hAnsi="Arial" w:cs="Arial"/>
        </w:rPr>
      </w:pPr>
      <w:r w:rsidRPr="008845D0">
        <w:rPr>
          <w:rFonts w:ascii="Arial" w:hAnsi="Arial" w:cs="Arial"/>
        </w:rPr>
        <w:t xml:space="preserve">Сфера потребительского рынка и услуг остается </w:t>
      </w:r>
      <w:proofErr w:type="spellStart"/>
      <w:r w:rsidRPr="008845D0">
        <w:rPr>
          <w:rFonts w:ascii="Arial" w:hAnsi="Arial" w:cs="Arial"/>
        </w:rPr>
        <w:t>инвестиционно</w:t>
      </w:r>
      <w:proofErr w:type="spellEnd"/>
      <w:r w:rsidRPr="008845D0">
        <w:rPr>
          <w:rFonts w:ascii="Arial" w:hAnsi="Arial" w:cs="Arial"/>
        </w:rPr>
        <w:t xml:space="preserve"> привлек</w:t>
      </w:r>
      <w:r w:rsidRPr="008845D0">
        <w:rPr>
          <w:rFonts w:ascii="Arial" w:hAnsi="Arial" w:cs="Arial"/>
        </w:rPr>
        <w:t>а</w:t>
      </w:r>
      <w:r w:rsidRPr="008845D0">
        <w:rPr>
          <w:rFonts w:ascii="Arial" w:hAnsi="Arial" w:cs="Arial"/>
        </w:rPr>
        <w:t>тельной. За 9 месяцев 202</w:t>
      </w:r>
      <w:r w:rsidR="0076773E" w:rsidRPr="008845D0">
        <w:rPr>
          <w:rFonts w:ascii="Arial" w:hAnsi="Arial" w:cs="Arial"/>
        </w:rPr>
        <w:t>3</w:t>
      </w:r>
      <w:r w:rsidRPr="008845D0">
        <w:rPr>
          <w:rFonts w:ascii="Arial" w:hAnsi="Arial" w:cs="Arial"/>
        </w:rPr>
        <w:t xml:space="preserve"> г. открыто и реконструировано 2</w:t>
      </w:r>
      <w:r w:rsidR="0076773E" w:rsidRPr="008845D0">
        <w:rPr>
          <w:rFonts w:ascii="Arial" w:hAnsi="Arial" w:cs="Arial"/>
        </w:rPr>
        <w:t>45</w:t>
      </w:r>
      <w:r w:rsidRPr="008845D0">
        <w:rPr>
          <w:rFonts w:ascii="Arial" w:hAnsi="Arial" w:cs="Arial"/>
        </w:rPr>
        <w:t xml:space="preserve"> объектов потреб</w:t>
      </w:r>
      <w:r w:rsidRPr="008845D0">
        <w:rPr>
          <w:rFonts w:ascii="Arial" w:hAnsi="Arial" w:cs="Arial"/>
        </w:rPr>
        <w:t>и</w:t>
      </w:r>
      <w:r w:rsidRPr="008845D0">
        <w:rPr>
          <w:rFonts w:ascii="Arial" w:hAnsi="Arial" w:cs="Arial"/>
        </w:rPr>
        <w:t>тельского</w:t>
      </w:r>
      <w:r w:rsidR="00E519CA" w:rsidRPr="008845D0">
        <w:rPr>
          <w:rFonts w:ascii="Arial" w:hAnsi="Arial" w:cs="Arial"/>
        </w:rPr>
        <w:t xml:space="preserve"> рынка</w:t>
      </w:r>
      <w:r w:rsidR="003436E1" w:rsidRPr="008845D0">
        <w:rPr>
          <w:rFonts w:ascii="Arial" w:hAnsi="Arial" w:cs="Arial"/>
        </w:rPr>
        <w:t>, из них 1</w:t>
      </w:r>
      <w:r w:rsidR="0076773E" w:rsidRPr="008845D0">
        <w:rPr>
          <w:rFonts w:ascii="Arial" w:hAnsi="Arial" w:cs="Arial"/>
        </w:rPr>
        <w:t>61</w:t>
      </w:r>
      <w:r w:rsidR="003436E1" w:rsidRPr="008845D0">
        <w:rPr>
          <w:rFonts w:ascii="Arial" w:hAnsi="Arial" w:cs="Arial"/>
        </w:rPr>
        <w:t xml:space="preserve"> </w:t>
      </w:r>
      <w:r w:rsidR="0076773E" w:rsidRPr="008845D0">
        <w:rPr>
          <w:rFonts w:ascii="Arial" w:hAnsi="Arial" w:cs="Arial"/>
        </w:rPr>
        <w:t>-</w:t>
      </w:r>
      <w:r w:rsidR="003436E1" w:rsidRPr="008845D0">
        <w:rPr>
          <w:rFonts w:ascii="Arial" w:hAnsi="Arial" w:cs="Arial"/>
        </w:rPr>
        <w:t xml:space="preserve"> торговли, </w:t>
      </w:r>
      <w:r w:rsidR="0076773E" w:rsidRPr="008845D0">
        <w:rPr>
          <w:rFonts w:ascii="Arial" w:hAnsi="Arial" w:cs="Arial"/>
        </w:rPr>
        <w:t xml:space="preserve">45 - </w:t>
      </w:r>
      <w:r w:rsidR="003436E1" w:rsidRPr="008845D0">
        <w:rPr>
          <w:rFonts w:ascii="Arial" w:hAnsi="Arial" w:cs="Arial"/>
        </w:rPr>
        <w:t xml:space="preserve">общественного питания и </w:t>
      </w:r>
      <w:r w:rsidR="0076773E" w:rsidRPr="008845D0">
        <w:rPr>
          <w:rFonts w:ascii="Arial" w:hAnsi="Arial" w:cs="Arial"/>
        </w:rPr>
        <w:t>39</w:t>
      </w:r>
      <w:r w:rsidR="003436E1" w:rsidRPr="008845D0">
        <w:rPr>
          <w:rFonts w:ascii="Arial" w:hAnsi="Arial" w:cs="Arial"/>
        </w:rPr>
        <w:t xml:space="preserve"> объект</w:t>
      </w:r>
      <w:r w:rsidR="0076773E" w:rsidRPr="008845D0">
        <w:rPr>
          <w:rFonts w:ascii="Arial" w:hAnsi="Arial" w:cs="Arial"/>
        </w:rPr>
        <w:t>ов</w:t>
      </w:r>
      <w:r w:rsidR="003436E1" w:rsidRPr="008845D0">
        <w:rPr>
          <w:rFonts w:ascii="Arial" w:hAnsi="Arial" w:cs="Arial"/>
        </w:rPr>
        <w:t xml:space="preserve"> бытового обслуживания населения.</w:t>
      </w:r>
    </w:p>
    <w:p w:rsidR="0076773E" w:rsidRPr="008845D0" w:rsidRDefault="0076773E" w:rsidP="0076773E">
      <w:pPr>
        <w:ind w:firstLine="709"/>
        <w:contextualSpacing/>
        <w:jc w:val="both"/>
        <w:rPr>
          <w:rFonts w:ascii="Arial" w:hAnsi="Arial" w:cs="Arial"/>
        </w:rPr>
      </w:pPr>
      <w:r w:rsidRPr="008845D0">
        <w:rPr>
          <w:rFonts w:ascii="Arial" w:hAnsi="Arial" w:cs="Arial"/>
        </w:rPr>
        <w:t>Обеспеченность населения республики  стационарными торговыми объе</w:t>
      </w:r>
      <w:r w:rsidRPr="008845D0">
        <w:rPr>
          <w:rFonts w:ascii="Arial" w:hAnsi="Arial" w:cs="Arial"/>
        </w:rPr>
        <w:t>к</w:t>
      </w:r>
      <w:r w:rsidRPr="008845D0">
        <w:rPr>
          <w:rFonts w:ascii="Arial" w:hAnsi="Arial" w:cs="Arial"/>
        </w:rPr>
        <w:t xml:space="preserve">тами составляет 6472 ед., что в 1,9 раза выше установленного норматива (3417 ед.). </w:t>
      </w:r>
    </w:p>
    <w:p w:rsidR="0076773E" w:rsidRPr="008845D0" w:rsidRDefault="0076773E" w:rsidP="0076773E">
      <w:pPr>
        <w:ind w:firstLine="709"/>
        <w:contextualSpacing/>
        <w:jc w:val="both"/>
        <w:rPr>
          <w:rFonts w:ascii="Arial" w:hAnsi="Arial" w:cs="Arial"/>
        </w:rPr>
      </w:pPr>
      <w:r w:rsidRPr="008845D0">
        <w:rPr>
          <w:rFonts w:ascii="Arial" w:hAnsi="Arial" w:cs="Arial"/>
        </w:rPr>
        <w:t>Удельный вес сетевых торговых структур в общем объеме оборота розни</w:t>
      </w:r>
      <w:r w:rsidRPr="008845D0">
        <w:rPr>
          <w:rFonts w:ascii="Arial" w:hAnsi="Arial" w:cs="Arial"/>
        </w:rPr>
        <w:t>ч</w:t>
      </w:r>
      <w:r w:rsidRPr="008845D0">
        <w:rPr>
          <w:rFonts w:ascii="Arial" w:hAnsi="Arial" w:cs="Arial"/>
        </w:rPr>
        <w:t>ной продовольственной торговли составил 45,4% (в 2022 году - 43,5%, в 2021 году – 41,2%). Местные торговые сети Чувашии представлены в основном фирменн</w:t>
      </w:r>
      <w:r w:rsidRPr="008845D0">
        <w:rPr>
          <w:rFonts w:ascii="Arial" w:hAnsi="Arial" w:cs="Arial"/>
        </w:rPr>
        <w:t>ы</w:t>
      </w:r>
      <w:r w:rsidRPr="008845D0">
        <w:rPr>
          <w:rFonts w:ascii="Arial" w:hAnsi="Arial" w:cs="Arial"/>
        </w:rPr>
        <w:t>ми магазинами товаропроизводителей Чувашии и организациями системы потр</w:t>
      </w:r>
      <w:r w:rsidRPr="008845D0">
        <w:rPr>
          <w:rFonts w:ascii="Arial" w:hAnsi="Arial" w:cs="Arial"/>
        </w:rPr>
        <w:t>е</w:t>
      </w:r>
      <w:r w:rsidRPr="008845D0">
        <w:rPr>
          <w:rFonts w:ascii="Arial" w:hAnsi="Arial" w:cs="Arial"/>
        </w:rPr>
        <w:t xml:space="preserve">бительской кооперации. </w:t>
      </w:r>
    </w:p>
    <w:p w:rsidR="0076773E" w:rsidRPr="008845D0" w:rsidRDefault="00A5791B" w:rsidP="0076773E">
      <w:pPr>
        <w:ind w:firstLine="709"/>
        <w:contextualSpacing/>
        <w:jc w:val="both"/>
        <w:rPr>
          <w:rFonts w:ascii="Arial" w:hAnsi="Arial" w:cs="Arial"/>
        </w:rPr>
      </w:pPr>
      <w:r w:rsidRPr="008845D0">
        <w:rPr>
          <w:rFonts w:ascii="Arial" w:hAnsi="Arial" w:cs="Arial"/>
        </w:rPr>
        <w:t>Уделяется большое внимание созданию условий для реализации сельск</w:t>
      </w:r>
      <w:r w:rsidRPr="008845D0">
        <w:rPr>
          <w:rFonts w:ascii="Arial" w:hAnsi="Arial" w:cs="Arial"/>
        </w:rPr>
        <w:t>о</w:t>
      </w:r>
      <w:r w:rsidRPr="008845D0">
        <w:rPr>
          <w:rFonts w:ascii="Arial" w:hAnsi="Arial" w:cs="Arial"/>
        </w:rPr>
        <w:t>хозяйственной продукции на рынках и ярмарках. Перечень ярмарок на 202</w:t>
      </w:r>
      <w:r w:rsidR="0076773E" w:rsidRPr="008845D0">
        <w:rPr>
          <w:rFonts w:ascii="Arial" w:hAnsi="Arial" w:cs="Arial"/>
        </w:rPr>
        <w:t>3</w:t>
      </w:r>
      <w:r w:rsidRPr="008845D0">
        <w:rPr>
          <w:rFonts w:ascii="Arial" w:hAnsi="Arial" w:cs="Arial"/>
        </w:rPr>
        <w:t xml:space="preserve"> год утвержден 22 администрациями муниципальных и городских округов Чувашской Республики, количество площадок для ярмарок составило </w:t>
      </w:r>
      <w:r w:rsidR="0076773E" w:rsidRPr="008845D0">
        <w:rPr>
          <w:rFonts w:ascii="Arial" w:hAnsi="Arial" w:cs="Arial"/>
        </w:rPr>
        <w:t xml:space="preserve">132 </w:t>
      </w:r>
      <w:r w:rsidRPr="008845D0">
        <w:rPr>
          <w:rFonts w:ascii="Arial" w:hAnsi="Arial" w:cs="Arial"/>
        </w:rPr>
        <w:t>ед.</w:t>
      </w:r>
      <w:r w:rsidR="0076773E" w:rsidRPr="008845D0">
        <w:rPr>
          <w:rFonts w:ascii="Arial" w:hAnsi="Arial" w:cs="Arial"/>
        </w:rPr>
        <w:t xml:space="preserve"> против 123 в 2022 году.</w:t>
      </w:r>
      <w:r w:rsidRPr="008845D0">
        <w:rPr>
          <w:rFonts w:ascii="Arial" w:hAnsi="Arial" w:cs="Arial"/>
        </w:rPr>
        <w:t xml:space="preserve"> </w:t>
      </w:r>
      <w:r w:rsidR="0076773E" w:rsidRPr="008845D0">
        <w:rPr>
          <w:rFonts w:ascii="Arial" w:hAnsi="Arial" w:cs="Arial"/>
        </w:rPr>
        <w:t xml:space="preserve">В целом в рамках активизации ярмарочной торговли в январе-октябре </w:t>
      </w:r>
      <w:proofErr w:type="spellStart"/>
      <w:r w:rsidR="0076773E" w:rsidRPr="008845D0">
        <w:rPr>
          <w:rFonts w:ascii="Arial" w:hAnsi="Arial" w:cs="Arial"/>
        </w:rPr>
        <w:t>т.г</w:t>
      </w:r>
      <w:proofErr w:type="spellEnd"/>
      <w:r w:rsidR="0076773E" w:rsidRPr="008845D0">
        <w:rPr>
          <w:rFonts w:ascii="Arial" w:hAnsi="Arial" w:cs="Arial"/>
        </w:rPr>
        <w:t>. проведено более 7,0 тыс. ед. ярмарок, в том числе 1,3 тыс. сельскохозя</w:t>
      </w:r>
      <w:r w:rsidR="0076773E" w:rsidRPr="008845D0">
        <w:rPr>
          <w:rFonts w:ascii="Arial" w:hAnsi="Arial" w:cs="Arial"/>
        </w:rPr>
        <w:t>й</w:t>
      </w:r>
      <w:r w:rsidR="0076773E" w:rsidRPr="008845D0">
        <w:rPr>
          <w:rFonts w:ascii="Arial" w:hAnsi="Arial" w:cs="Arial"/>
        </w:rPr>
        <w:t>ственных.</w:t>
      </w:r>
    </w:p>
    <w:p w:rsidR="00A5791B" w:rsidRPr="008845D0" w:rsidRDefault="00A5791B" w:rsidP="0076773E">
      <w:pPr>
        <w:ind w:firstLine="709"/>
        <w:contextualSpacing/>
        <w:jc w:val="both"/>
        <w:rPr>
          <w:rFonts w:ascii="Arial" w:hAnsi="Arial" w:cs="Arial"/>
        </w:rPr>
      </w:pPr>
      <w:r w:rsidRPr="008845D0">
        <w:rPr>
          <w:rFonts w:ascii="Arial" w:hAnsi="Arial" w:cs="Arial"/>
        </w:rPr>
        <w:t>В период проведения ярмарок на специальных торговых площадках пред</w:t>
      </w:r>
      <w:r w:rsidRPr="008845D0">
        <w:rPr>
          <w:rFonts w:ascii="Arial" w:hAnsi="Arial" w:cs="Arial"/>
        </w:rPr>
        <w:t>о</w:t>
      </w:r>
      <w:r w:rsidRPr="008845D0">
        <w:rPr>
          <w:rFonts w:ascii="Arial" w:hAnsi="Arial" w:cs="Arial"/>
        </w:rPr>
        <w:t>ставлялась возможность реализации сельскохозяйственной продукции через сп</w:t>
      </w:r>
      <w:r w:rsidRPr="008845D0">
        <w:rPr>
          <w:rFonts w:ascii="Arial" w:hAnsi="Arial" w:cs="Arial"/>
        </w:rPr>
        <w:t>е</w:t>
      </w:r>
      <w:r w:rsidRPr="008845D0">
        <w:rPr>
          <w:rFonts w:ascii="Arial" w:hAnsi="Arial" w:cs="Arial"/>
        </w:rPr>
        <w:t>циальное торговое оборудование, а также с автотранспорта. Места для торговли предоставлялись на льготной основе и бесплатно.</w:t>
      </w:r>
    </w:p>
    <w:p w:rsidR="00CC0619" w:rsidRPr="008845D0" w:rsidRDefault="0066144E" w:rsidP="005B1202">
      <w:pPr>
        <w:ind w:firstLine="709"/>
        <w:contextualSpacing/>
        <w:jc w:val="both"/>
        <w:rPr>
          <w:rFonts w:ascii="Arial" w:hAnsi="Arial" w:cs="Arial"/>
        </w:rPr>
      </w:pPr>
      <w:r w:rsidRPr="008845D0">
        <w:rPr>
          <w:rFonts w:ascii="Arial" w:hAnsi="Arial" w:cs="Arial"/>
        </w:rPr>
        <w:t xml:space="preserve">Развитие розничной торговой сети в сельской местности происходит за счет расширения развозной торговли, а также дистанционной торговли (в том числе по </w:t>
      </w:r>
      <w:r w:rsidRPr="008845D0">
        <w:rPr>
          <w:rFonts w:ascii="Arial" w:hAnsi="Arial" w:cs="Arial"/>
        </w:rPr>
        <w:lastRenderedPageBreak/>
        <w:t>заказам), в основном силами организаций системы потребительской кооперации. Кооперативные организации обеспечивают по заявкам сельское население и кр</w:t>
      </w:r>
      <w:r w:rsidRPr="008845D0">
        <w:rPr>
          <w:rFonts w:ascii="Arial" w:hAnsi="Arial" w:cs="Arial"/>
        </w:rPr>
        <w:t>е</w:t>
      </w:r>
      <w:r w:rsidRPr="008845D0">
        <w:rPr>
          <w:rFonts w:ascii="Arial" w:hAnsi="Arial" w:cs="Arial"/>
        </w:rPr>
        <w:t xml:space="preserve">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w:t>
      </w:r>
    </w:p>
    <w:p w:rsidR="00CC0619" w:rsidRPr="008845D0" w:rsidRDefault="00CC0619" w:rsidP="00CC0619">
      <w:pPr>
        <w:ind w:firstLine="709"/>
        <w:contextualSpacing/>
        <w:jc w:val="both"/>
        <w:rPr>
          <w:rFonts w:ascii="Arial" w:hAnsi="Arial" w:cs="Arial"/>
        </w:rPr>
      </w:pPr>
      <w:r w:rsidRPr="008845D0">
        <w:rPr>
          <w:rFonts w:ascii="Arial" w:hAnsi="Arial" w:cs="Arial"/>
        </w:rPr>
        <w:t>Организации Чувашпотребсоюза обеспечивают занятостью в сельской местности более 5 тыс. человек. Во Всероссийском соревновании «За эффекти</w:t>
      </w:r>
      <w:r w:rsidRPr="008845D0">
        <w:rPr>
          <w:rFonts w:ascii="Arial" w:hAnsi="Arial" w:cs="Arial"/>
        </w:rPr>
        <w:t>в</w:t>
      </w:r>
      <w:r w:rsidRPr="008845D0">
        <w:rPr>
          <w:rFonts w:ascii="Arial" w:hAnsi="Arial" w:cs="Arial"/>
        </w:rPr>
        <w:t>ное развитие отраслей деятельности» за 2022 год  Чувашскому  республиканск</w:t>
      </w:r>
      <w:r w:rsidRPr="008845D0">
        <w:rPr>
          <w:rFonts w:ascii="Arial" w:hAnsi="Arial" w:cs="Arial"/>
        </w:rPr>
        <w:t>о</w:t>
      </w:r>
      <w:r w:rsidRPr="008845D0">
        <w:rPr>
          <w:rFonts w:ascii="Arial" w:hAnsi="Arial" w:cs="Arial"/>
        </w:rPr>
        <w:t>му союзу потребительских обще</w:t>
      </w:r>
      <w:proofErr w:type="gramStart"/>
      <w:r w:rsidRPr="008845D0">
        <w:rPr>
          <w:rFonts w:ascii="Arial" w:hAnsi="Arial" w:cs="Arial"/>
        </w:rPr>
        <w:t>ств пр</w:t>
      </w:r>
      <w:proofErr w:type="gramEnd"/>
      <w:r w:rsidRPr="008845D0">
        <w:rPr>
          <w:rFonts w:ascii="Arial" w:hAnsi="Arial" w:cs="Arial"/>
        </w:rPr>
        <w:t xml:space="preserve">исуждено первое место за развитие общей деятельности среди 64 региональных </w:t>
      </w:r>
      <w:proofErr w:type="spellStart"/>
      <w:r w:rsidRPr="008845D0">
        <w:rPr>
          <w:rFonts w:ascii="Arial" w:hAnsi="Arial" w:cs="Arial"/>
        </w:rPr>
        <w:t>потребсоюзов</w:t>
      </w:r>
      <w:proofErr w:type="spellEnd"/>
      <w:r w:rsidRPr="008845D0">
        <w:rPr>
          <w:rFonts w:ascii="Arial" w:hAnsi="Arial" w:cs="Arial"/>
        </w:rPr>
        <w:t xml:space="preserve"> страны и по Приволжскому федеральному округу. </w:t>
      </w:r>
    </w:p>
    <w:p w:rsidR="00CC0619" w:rsidRPr="008845D0" w:rsidRDefault="00CC0619" w:rsidP="00CC0619">
      <w:pPr>
        <w:ind w:firstLine="709"/>
        <w:contextualSpacing/>
        <w:jc w:val="both"/>
        <w:rPr>
          <w:rFonts w:ascii="Arial" w:hAnsi="Arial" w:cs="Arial"/>
        </w:rPr>
      </w:pPr>
      <w:r w:rsidRPr="008845D0">
        <w:rPr>
          <w:rFonts w:ascii="Arial" w:hAnsi="Arial" w:cs="Arial"/>
        </w:rPr>
        <w:t xml:space="preserve">Прогрессирующее развитие информационных технологий, широкое </w:t>
      </w:r>
      <w:r w:rsidRPr="008845D0">
        <w:rPr>
          <w:rFonts w:ascii="Arial" w:hAnsi="Arial" w:cs="Arial"/>
        </w:rPr>
        <w:br/>
        <w:t>распространение информационно</w:t>
      </w:r>
      <w:r w:rsidRPr="008845D0">
        <w:rPr>
          <w:rFonts w:ascii="Arial" w:hAnsi="Arial" w:cs="Arial"/>
          <w:color w:val="000000"/>
        </w:rPr>
        <w:t>-</w:t>
      </w:r>
      <w:r w:rsidRPr="008845D0">
        <w:rPr>
          <w:rFonts w:ascii="Arial" w:hAnsi="Arial" w:cs="Arial"/>
        </w:rPr>
        <w:t xml:space="preserve">телекоммуникационной сети Интернет, </w:t>
      </w:r>
      <w:r w:rsidRPr="008845D0">
        <w:rPr>
          <w:rFonts w:ascii="Arial" w:hAnsi="Arial" w:cs="Arial"/>
        </w:rPr>
        <w:br/>
        <w:t xml:space="preserve">информатизация общества, а также отсутствие запретов по дистанционной </w:t>
      </w:r>
      <w:r w:rsidRPr="008845D0">
        <w:rPr>
          <w:rFonts w:ascii="Arial" w:hAnsi="Arial" w:cs="Arial"/>
        </w:rPr>
        <w:br/>
        <w:t xml:space="preserve">торговле в период реализации ограничительных мер способствовало развитию в республике более 500 </w:t>
      </w:r>
      <w:proofErr w:type="gramStart"/>
      <w:r w:rsidRPr="008845D0">
        <w:rPr>
          <w:rFonts w:ascii="Arial" w:hAnsi="Arial" w:cs="Arial"/>
        </w:rPr>
        <w:t>интернет-магазинов</w:t>
      </w:r>
      <w:proofErr w:type="gramEnd"/>
      <w:r w:rsidRPr="008845D0">
        <w:rPr>
          <w:rFonts w:ascii="Arial" w:hAnsi="Arial" w:cs="Arial"/>
        </w:rPr>
        <w:t>, развитию услуги по доставке товаров на дом (более 150 пунктов выдачи интернет-магазинов). В о</w:t>
      </w:r>
      <w:r w:rsidRPr="008845D0">
        <w:rPr>
          <w:rFonts w:ascii="Arial" w:hAnsi="Arial" w:cs="Arial"/>
          <w:iCs/>
        </w:rPr>
        <w:t>рганизациях розни</w:t>
      </w:r>
      <w:r w:rsidRPr="008845D0">
        <w:rPr>
          <w:rFonts w:ascii="Arial" w:hAnsi="Arial" w:cs="Arial"/>
          <w:iCs/>
        </w:rPr>
        <w:t>ч</w:t>
      </w:r>
      <w:r w:rsidRPr="008845D0">
        <w:rPr>
          <w:rFonts w:ascii="Arial" w:hAnsi="Arial" w:cs="Arial"/>
          <w:iCs/>
        </w:rPr>
        <w:t xml:space="preserve">ной торговли продолжается работа по </w:t>
      </w:r>
      <w:r w:rsidRPr="008845D0">
        <w:rPr>
          <w:rFonts w:ascii="Arial" w:hAnsi="Arial" w:cs="Arial"/>
          <w:iCs/>
        </w:rPr>
        <w:br/>
        <w:t>привлечению покупателей путем проведения таких</w:t>
      </w:r>
      <w:r w:rsidRPr="008845D0">
        <w:rPr>
          <w:rFonts w:ascii="Arial" w:hAnsi="Arial" w:cs="Arial"/>
        </w:rPr>
        <w:t xml:space="preserve"> форм торговли, как</w:t>
      </w:r>
      <w:r w:rsidRPr="008845D0">
        <w:rPr>
          <w:rFonts w:ascii="Arial" w:hAnsi="Arial" w:cs="Arial"/>
        </w:rPr>
        <w:br/>
        <w:t>распродажи, скидки, акции.</w:t>
      </w:r>
    </w:p>
    <w:p w:rsidR="00CC0619" w:rsidRPr="008845D0" w:rsidRDefault="00CC0619" w:rsidP="00CC0619">
      <w:pPr>
        <w:ind w:firstLine="709"/>
        <w:contextualSpacing/>
        <w:jc w:val="both"/>
        <w:rPr>
          <w:rFonts w:ascii="Arial" w:hAnsi="Arial" w:cs="Arial"/>
        </w:rPr>
      </w:pPr>
      <w:r w:rsidRPr="008845D0">
        <w:rPr>
          <w:rFonts w:ascii="Arial" w:hAnsi="Arial" w:cs="Arial"/>
        </w:rPr>
        <w:t xml:space="preserve">Все больше в магазинах появляется продукция местных </w:t>
      </w:r>
      <w:r w:rsidRPr="008845D0">
        <w:rPr>
          <w:rFonts w:ascii="Arial" w:hAnsi="Arial" w:cs="Arial"/>
        </w:rPr>
        <w:br/>
        <w:t xml:space="preserve">товаропроизводителей, экологически чистых и пользующихся спросом у </w:t>
      </w:r>
      <w:r w:rsidRPr="008845D0">
        <w:rPr>
          <w:rFonts w:ascii="Arial" w:hAnsi="Arial" w:cs="Arial"/>
        </w:rPr>
        <w:br/>
        <w:t xml:space="preserve">населения. Этому способствует активное взаимодействие органов </w:t>
      </w:r>
      <w:r w:rsidRPr="008845D0">
        <w:rPr>
          <w:rFonts w:ascii="Arial" w:hAnsi="Arial" w:cs="Arial"/>
        </w:rPr>
        <w:br/>
        <w:t>государственной власти с производственными и торгующими организациями. Д</w:t>
      </w:r>
      <w:r w:rsidRPr="008845D0">
        <w:rPr>
          <w:rFonts w:ascii="Arial" w:hAnsi="Arial" w:cs="Arial"/>
        </w:rPr>
        <w:t>о</w:t>
      </w:r>
      <w:r w:rsidRPr="008845D0">
        <w:rPr>
          <w:rFonts w:ascii="Arial" w:hAnsi="Arial" w:cs="Arial"/>
        </w:rPr>
        <w:t>ля представленности в торговых объектах товаров местных товаропроизводит</w:t>
      </w:r>
      <w:r w:rsidRPr="008845D0">
        <w:rPr>
          <w:rFonts w:ascii="Arial" w:hAnsi="Arial" w:cs="Arial"/>
        </w:rPr>
        <w:t>е</w:t>
      </w:r>
      <w:r w:rsidRPr="008845D0">
        <w:rPr>
          <w:rFonts w:ascii="Arial" w:hAnsi="Arial" w:cs="Arial"/>
        </w:rPr>
        <w:t>лей в группах товаров, таких как молоко, хлеб, колбасы, яйца, птица, овощи, ко</w:t>
      </w:r>
      <w:r w:rsidRPr="008845D0">
        <w:rPr>
          <w:rFonts w:ascii="Arial" w:hAnsi="Arial" w:cs="Arial"/>
        </w:rPr>
        <w:t>н</w:t>
      </w:r>
      <w:r w:rsidRPr="008845D0">
        <w:rPr>
          <w:rFonts w:ascii="Arial" w:hAnsi="Arial" w:cs="Arial"/>
        </w:rPr>
        <w:t>дитерские изделия, алкогольная продукция составила за 9 месяцев 2023 г. в Ч</w:t>
      </w:r>
      <w:r w:rsidRPr="008845D0">
        <w:rPr>
          <w:rFonts w:ascii="Arial" w:hAnsi="Arial" w:cs="Arial"/>
        </w:rPr>
        <w:t>у</w:t>
      </w:r>
      <w:r w:rsidRPr="008845D0">
        <w:rPr>
          <w:rFonts w:ascii="Arial" w:hAnsi="Arial" w:cs="Arial"/>
        </w:rPr>
        <w:t>вашии 66,3% (в 2022 г. - 65,8%).</w:t>
      </w:r>
    </w:p>
    <w:p w:rsidR="00CC0619" w:rsidRPr="008845D0" w:rsidRDefault="00CC0619" w:rsidP="00CC0619">
      <w:pPr>
        <w:ind w:firstLine="709"/>
        <w:contextualSpacing/>
        <w:jc w:val="both"/>
        <w:rPr>
          <w:rFonts w:ascii="Arial" w:hAnsi="Arial" w:cs="Arial"/>
          <w:iCs/>
        </w:rPr>
      </w:pPr>
      <w:r w:rsidRPr="008845D0">
        <w:rPr>
          <w:rFonts w:ascii="Arial" w:hAnsi="Arial" w:cs="Arial"/>
          <w:iCs/>
        </w:rPr>
        <w:t xml:space="preserve">За </w:t>
      </w:r>
      <w:r w:rsidRPr="008845D0">
        <w:rPr>
          <w:rFonts w:ascii="Arial" w:hAnsi="Arial" w:cs="Arial"/>
        </w:rPr>
        <w:t xml:space="preserve">9 месяцев </w:t>
      </w:r>
      <w:r w:rsidRPr="008845D0">
        <w:rPr>
          <w:rFonts w:ascii="Arial" w:hAnsi="Arial" w:cs="Arial"/>
          <w:iCs/>
        </w:rPr>
        <w:t>2023 г. проведено 13 совещаний и семинаров по вопросам развития сферы потребительского рынка, защиты прав потребителей, организ</w:t>
      </w:r>
      <w:r w:rsidRPr="008845D0">
        <w:rPr>
          <w:rFonts w:ascii="Arial" w:hAnsi="Arial" w:cs="Arial"/>
          <w:iCs/>
        </w:rPr>
        <w:t>а</w:t>
      </w:r>
      <w:r w:rsidRPr="008845D0">
        <w:rPr>
          <w:rFonts w:ascii="Arial" w:hAnsi="Arial" w:cs="Arial"/>
          <w:iCs/>
        </w:rPr>
        <w:t xml:space="preserve">ции маркировки товаров, </w:t>
      </w:r>
      <w:proofErr w:type="spellStart"/>
      <w:r w:rsidRPr="008845D0">
        <w:rPr>
          <w:rFonts w:ascii="Arial" w:hAnsi="Arial" w:cs="Arial"/>
          <w:iCs/>
        </w:rPr>
        <w:t>брендирования</w:t>
      </w:r>
      <w:proofErr w:type="spellEnd"/>
      <w:r w:rsidRPr="008845D0">
        <w:rPr>
          <w:rFonts w:ascii="Arial" w:hAnsi="Arial" w:cs="Arial"/>
          <w:iCs/>
        </w:rPr>
        <w:t xml:space="preserve"> местной продукции. Проведены закупо</w:t>
      </w:r>
      <w:r w:rsidRPr="008845D0">
        <w:rPr>
          <w:rFonts w:ascii="Arial" w:hAnsi="Arial" w:cs="Arial"/>
          <w:iCs/>
        </w:rPr>
        <w:t>ч</w:t>
      </w:r>
      <w:r w:rsidRPr="008845D0">
        <w:rPr>
          <w:rFonts w:ascii="Arial" w:hAnsi="Arial" w:cs="Arial"/>
          <w:iCs/>
        </w:rPr>
        <w:t>ные сессии с торговыми организациями городов Алатырь, Канаш, Шумерля и т</w:t>
      </w:r>
      <w:r w:rsidRPr="008845D0">
        <w:rPr>
          <w:rFonts w:ascii="Arial" w:hAnsi="Arial" w:cs="Arial"/>
          <w:iCs/>
        </w:rPr>
        <w:t>о</w:t>
      </w:r>
      <w:r w:rsidRPr="008845D0">
        <w:rPr>
          <w:rFonts w:ascii="Arial" w:hAnsi="Arial" w:cs="Arial"/>
          <w:iCs/>
        </w:rPr>
        <w:t>варопроизводителями республики.</w:t>
      </w:r>
    </w:p>
    <w:p w:rsidR="00CC0619" w:rsidRPr="008845D0" w:rsidRDefault="00CC0619" w:rsidP="00CC0619">
      <w:pPr>
        <w:ind w:firstLine="709"/>
        <w:contextualSpacing/>
        <w:jc w:val="both"/>
        <w:rPr>
          <w:rFonts w:ascii="Arial" w:hAnsi="Arial" w:cs="Arial"/>
        </w:rPr>
      </w:pPr>
      <w:proofErr w:type="gramStart"/>
      <w:r w:rsidRPr="008845D0">
        <w:rPr>
          <w:rFonts w:ascii="Arial" w:hAnsi="Arial" w:cs="Arial"/>
        </w:rPr>
        <w:t>Много внимания в республике уделяется повышению квалификации и пр</w:t>
      </w:r>
      <w:r w:rsidRPr="008845D0">
        <w:rPr>
          <w:rFonts w:ascii="Arial" w:hAnsi="Arial" w:cs="Arial"/>
        </w:rPr>
        <w:t>о</w:t>
      </w:r>
      <w:r w:rsidRPr="008845D0">
        <w:rPr>
          <w:rFonts w:ascii="Arial" w:hAnsi="Arial" w:cs="Arial"/>
        </w:rPr>
        <w:t>фессионализма руководителей и специалистов сферы торговли и общественного питания: проведены республиканский конкурс «Торговля Чувашии», фестиваль национальной кухни  народов Поволжья, республиканский фестиваль «Вкусы Ч</w:t>
      </w:r>
      <w:r w:rsidRPr="008845D0">
        <w:rPr>
          <w:rFonts w:ascii="Arial" w:hAnsi="Arial" w:cs="Arial"/>
        </w:rPr>
        <w:t>у</w:t>
      </w:r>
      <w:r w:rsidRPr="008845D0">
        <w:rPr>
          <w:rFonts w:ascii="Arial" w:hAnsi="Arial" w:cs="Arial"/>
        </w:rPr>
        <w:t>вашии», республиканский фестиваль сферы индустрии красоты, для предприн</w:t>
      </w:r>
      <w:r w:rsidRPr="008845D0">
        <w:rPr>
          <w:rFonts w:ascii="Arial" w:hAnsi="Arial" w:cs="Arial"/>
        </w:rPr>
        <w:t>и</w:t>
      </w:r>
      <w:r w:rsidRPr="008845D0">
        <w:rPr>
          <w:rFonts w:ascii="Arial" w:hAnsi="Arial" w:cs="Arial"/>
        </w:rPr>
        <w:t xml:space="preserve">мателей, </w:t>
      </w:r>
      <w:proofErr w:type="spellStart"/>
      <w:r w:rsidRPr="008845D0">
        <w:rPr>
          <w:rFonts w:ascii="Arial" w:hAnsi="Arial" w:cs="Arial"/>
        </w:rPr>
        <w:t>самозанятых</w:t>
      </w:r>
      <w:proofErr w:type="spellEnd"/>
      <w:r w:rsidRPr="008845D0">
        <w:rPr>
          <w:rFonts w:ascii="Arial" w:hAnsi="Arial" w:cs="Arial"/>
        </w:rPr>
        <w:t xml:space="preserve"> и физических лиц, планирующих начать предпринимател</w:t>
      </w:r>
      <w:r w:rsidRPr="008845D0">
        <w:rPr>
          <w:rFonts w:ascii="Arial" w:hAnsi="Arial" w:cs="Arial"/>
        </w:rPr>
        <w:t>ь</w:t>
      </w:r>
      <w:r w:rsidRPr="008845D0">
        <w:rPr>
          <w:rFonts w:ascii="Arial" w:hAnsi="Arial" w:cs="Arial"/>
        </w:rPr>
        <w:t>скую деятельность, проведен очный семинар «Механизмы подключения чува</w:t>
      </w:r>
      <w:r w:rsidRPr="008845D0">
        <w:rPr>
          <w:rFonts w:ascii="Arial" w:hAnsi="Arial" w:cs="Arial"/>
        </w:rPr>
        <w:t>ш</w:t>
      </w:r>
      <w:r w:rsidRPr="008845D0">
        <w:rPr>
          <w:rFonts w:ascii="Arial" w:hAnsi="Arial" w:cs="Arial"/>
        </w:rPr>
        <w:t xml:space="preserve">ских производителей к </w:t>
      </w:r>
      <w:proofErr w:type="spellStart"/>
      <w:r w:rsidRPr="008845D0">
        <w:rPr>
          <w:rFonts w:ascii="Arial" w:hAnsi="Arial" w:cs="Arial"/>
        </w:rPr>
        <w:t>маркетплейсам</w:t>
      </w:r>
      <w:proofErr w:type="spellEnd"/>
      <w:r w:rsidRPr="008845D0">
        <w:rPr>
          <w:rFonts w:ascii="Arial" w:hAnsi="Arial" w:cs="Arial"/>
        </w:rPr>
        <w:t>», организованы курсы повышения квал</w:t>
      </w:r>
      <w:r w:rsidRPr="008845D0">
        <w:rPr>
          <w:rFonts w:ascii="Arial" w:hAnsi="Arial" w:cs="Arial"/>
        </w:rPr>
        <w:t>и</w:t>
      </w:r>
      <w:r w:rsidRPr="008845D0">
        <w:rPr>
          <w:rFonts w:ascii="Arial" w:hAnsi="Arial" w:cs="Arial"/>
        </w:rPr>
        <w:t>фикации на</w:t>
      </w:r>
      <w:proofErr w:type="gramEnd"/>
      <w:r w:rsidRPr="008845D0">
        <w:rPr>
          <w:rFonts w:ascii="Arial" w:hAnsi="Arial" w:cs="Arial"/>
        </w:rPr>
        <w:t xml:space="preserve"> базе образовательных организаций.</w:t>
      </w:r>
    </w:p>
    <w:p w:rsidR="00CC0619" w:rsidRPr="008845D0" w:rsidRDefault="00CC0619" w:rsidP="00CC0619">
      <w:pPr>
        <w:ind w:firstLine="709"/>
        <w:contextualSpacing/>
        <w:jc w:val="both"/>
        <w:rPr>
          <w:rFonts w:ascii="Arial" w:hAnsi="Arial" w:cs="Arial"/>
        </w:rPr>
      </w:pPr>
      <w:r w:rsidRPr="008845D0">
        <w:rPr>
          <w:rFonts w:ascii="Arial" w:hAnsi="Arial" w:cs="Arial"/>
        </w:rPr>
        <w:t>С целью популяризации региона в информационном пространстве в тек</w:t>
      </w:r>
      <w:r w:rsidRPr="008845D0">
        <w:rPr>
          <w:rFonts w:ascii="Arial" w:hAnsi="Arial" w:cs="Arial"/>
        </w:rPr>
        <w:t>у</w:t>
      </w:r>
      <w:r w:rsidRPr="008845D0">
        <w:rPr>
          <w:rFonts w:ascii="Arial" w:hAnsi="Arial" w:cs="Arial"/>
        </w:rPr>
        <w:t>щем году были сняты 2 передачи о культуре и кухне Чувашской Республики: Пе</w:t>
      </w:r>
      <w:r w:rsidRPr="008845D0">
        <w:rPr>
          <w:rFonts w:ascii="Arial" w:hAnsi="Arial" w:cs="Arial"/>
        </w:rPr>
        <w:t>р</w:t>
      </w:r>
      <w:r w:rsidRPr="008845D0">
        <w:rPr>
          <w:rFonts w:ascii="Arial" w:hAnsi="Arial" w:cs="Arial"/>
        </w:rPr>
        <w:t>вым каналом снята передача «Повара на колесах», телеканалом «Пятница» снята передача «</w:t>
      </w:r>
      <w:proofErr w:type="spellStart"/>
      <w:r w:rsidRPr="008845D0">
        <w:rPr>
          <w:rFonts w:ascii="Arial" w:hAnsi="Arial" w:cs="Arial"/>
        </w:rPr>
        <w:t>Гастротур</w:t>
      </w:r>
      <w:proofErr w:type="spellEnd"/>
      <w:r w:rsidRPr="008845D0">
        <w:rPr>
          <w:rFonts w:ascii="Arial" w:hAnsi="Arial" w:cs="Arial"/>
        </w:rPr>
        <w:t>».</w:t>
      </w:r>
    </w:p>
    <w:p w:rsidR="00CC0619" w:rsidRPr="008845D0" w:rsidRDefault="0095127F" w:rsidP="00CC0619">
      <w:pPr>
        <w:ind w:firstLine="709"/>
        <w:contextualSpacing/>
        <w:jc w:val="both"/>
        <w:rPr>
          <w:rFonts w:ascii="Arial" w:hAnsi="Arial" w:cs="Arial"/>
        </w:rPr>
      </w:pPr>
      <w:r w:rsidRPr="008845D0">
        <w:rPr>
          <w:rFonts w:ascii="Arial" w:hAnsi="Arial" w:cs="Arial"/>
        </w:rPr>
        <w:t xml:space="preserve">Серьезное внимание уделяется развитию системы защиты прав </w:t>
      </w:r>
      <w:proofErr w:type="gramStart"/>
      <w:r w:rsidRPr="008845D0">
        <w:rPr>
          <w:rFonts w:ascii="Arial" w:hAnsi="Arial" w:cs="Arial"/>
        </w:rPr>
        <w:t>потребите-лей</w:t>
      </w:r>
      <w:proofErr w:type="gramEnd"/>
      <w:r w:rsidRPr="008845D0">
        <w:rPr>
          <w:rFonts w:ascii="Arial" w:hAnsi="Arial" w:cs="Arial"/>
        </w:rPr>
        <w:t>. В марте 202</w:t>
      </w:r>
      <w:r w:rsidR="006F6F37" w:rsidRPr="008845D0">
        <w:rPr>
          <w:rFonts w:ascii="Arial" w:hAnsi="Arial" w:cs="Arial"/>
        </w:rPr>
        <w:t>3</w:t>
      </w:r>
      <w:r w:rsidRPr="008845D0">
        <w:rPr>
          <w:rFonts w:ascii="Arial" w:hAnsi="Arial" w:cs="Arial"/>
        </w:rPr>
        <w:t xml:space="preserve"> г. </w:t>
      </w:r>
      <w:r w:rsidR="006860C9" w:rsidRPr="008845D0">
        <w:rPr>
          <w:rFonts w:ascii="Arial" w:hAnsi="Arial" w:cs="Arial"/>
        </w:rPr>
        <w:t>во всех муниципальных и городских округах республики пр</w:t>
      </w:r>
      <w:r w:rsidR="006860C9" w:rsidRPr="008845D0">
        <w:rPr>
          <w:rFonts w:ascii="Arial" w:hAnsi="Arial" w:cs="Arial"/>
        </w:rPr>
        <w:t>о</w:t>
      </w:r>
      <w:r w:rsidR="006860C9" w:rsidRPr="008845D0">
        <w:rPr>
          <w:rFonts w:ascii="Arial" w:hAnsi="Arial" w:cs="Arial"/>
        </w:rPr>
        <w:t xml:space="preserve">веден Всемирный день защиты прав потребителей. </w:t>
      </w:r>
      <w:proofErr w:type="gramStart"/>
      <w:r w:rsidR="006860C9" w:rsidRPr="008845D0">
        <w:rPr>
          <w:rFonts w:ascii="Arial" w:hAnsi="Arial" w:cs="Arial"/>
        </w:rPr>
        <w:t>На официальных сайтах м</w:t>
      </w:r>
      <w:r w:rsidR="006860C9" w:rsidRPr="008845D0">
        <w:rPr>
          <w:rFonts w:ascii="Arial" w:hAnsi="Arial" w:cs="Arial"/>
        </w:rPr>
        <w:t>у</w:t>
      </w:r>
      <w:r w:rsidR="006860C9" w:rsidRPr="008845D0">
        <w:rPr>
          <w:rFonts w:ascii="Arial" w:hAnsi="Arial" w:cs="Arial"/>
        </w:rPr>
        <w:t>ниципальных и городских округов в сети «Интернет» размещены информацио</w:t>
      </w:r>
      <w:r w:rsidR="006860C9" w:rsidRPr="008845D0">
        <w:rPr>
          <w:rFonts w:ascii="Arial" w:hAnsi="Arial" w:cs="Arial"/>
        </w:rPr>
        <w:t>н</w:t>
      </w:r>
      <w:r w:rsidR="006860C9" w:rsidRPr="008845D0">
        <w:rPr>
          <w:rFonts w:ascii="Arial" w:hAnsi="Arial" w:cs="Arial"/>
        </w:rPr>
        <w:t>ные статьи по защите прав потребителей, проведены тематические консультации, телефонные «горячие линии» по вопросам защиты прав потребителей и «круглые столы» с участием представителей территориальных отделов Управления Росп</w:t>
      </w:r>
      <w:r w:rsidR="006860C9" w:rsidRPr="008845D0">
        <w:rPr>
          <w:rFonts w:ascii="Arial" w:hAnsi="Arial" w:cs="Arial"/>
        </w:rPr>
        <w:t>о</w:t>
      </w:r>
      <w:r w:rsidR="006860C9" w:rsidRPr="008845D0">
        <w:rPr>
          <w:rFonts w:ascii="Arial" w:hAnsi="Arial" w:cs="Arial"/>
        </w:rPr>
        <w:lastRenderedPageBreak/>
        <w:t>требнадзора по Чувашской Республики – Чувашии, в которых также приняли уч</w:t>
      </w:r>
      <w:r w:rsidR="006860C9" w:rsidRPr="008845D0">
        <w:rPr>
          <w:rFonts w:ascii="Arial" w:hAnsi="Arial" w:cs="Arial"/>
        </w:rPr>
        <w:t>а</w:t>
      </w:r>
      <w:r w:rsidR="006860C9" w:rsidRPr="008845D0">
        <w:rPr>
          <w:rFonts w:ascii="Arial" w:hAnsi="Arial" w:cs="Arial"/>
        </w:rPr>
        <w:t>стие индивидуальные предприниматели и руководители предприятий потреб</w:t>
      </w:r>
      <w:r w:rsidR="006860C9" w:rsidRPr="008845D0">
        <w:rPr>
          <w:rFonts w:ascii="Arial" w:hAnsi="Arial" w:cs="Arial"/>
        </w:rPr>
        <w:t>и</w:t>
      </w:r>
      <w:r w:rsidR="006860C9" w:rsidRPr="008845D0">
        <w:rPr>
          <w:rFonts w:ascii="Arial" w:hAnsi="Arial" w:cs="Arial"/>
        </w:rPr>
        <w:t>тельского рынка.</w:t>
      </w:r>
      <w:proofErr w:type="gramEnd"/>
      <w:r w:rsidRPr="008845D0">
        <w:rPr>
          <w:rFonts w:ascii="Arial" w:hAnsi="Arial" w:cs="Arial"/>
        </w:rPr>
        <w:t xml:space="preserve"> </w:t>
      </w:r>
      <w:r w:rsidR="00CC0619" w:rsidRPr="008845D0">
        <w:rPr>
          <w:rFonts w:ascii="Arial" w:hAnsi="Arial" w:cs="Arial"/>
        </w:rPr>
        <w:t>В 380 общеобразовательных организациях Чувашской Респу</w:t>
      </w:r>
      <w:r w:rsidR="00CC0619" w:rsidRPr="008845D0">
        <w:rPr>
          <w:rFonts w:ascii="Arial" w:hAnsi="Arial" w:cs="Arial"/>
        </w:rPr>
        <w:t>б</w:t>
      </w:r>
      <w:r w:rsidR="00CC0619" w:rsidRPr="008845D0">
        <w:rPr>
          <w:rFonts w:ascii="Arial" w:hAnsi="Arial" w:cs="Arial"/>
        </w:rPr>
        <w:t>лики с охватом более 140 тыс. детей были организованы и проведены классные часы, «круглые столы», организованы выставки в рамках празднования Всемирн</w:t>
      </w:r>
      <w:r w:rsidR="00CC0619" w:rsidRPr="008845D0">
        <w:rPr>
          <w:rFonts w:ascii="Arial" w:hAnsi="Arial" w:cs="Arial"/>
        </w:rPr>
        <w:t>о</w:t>
      </w:r>
      <w:r w:rsidR="00CC0619" w:rsidRPr="008845D0">
        <w:rPr>
          <w:rFonts w:ascii="Arial" w:hAnsi="Arial" w:cs="Arial"/>
        </w:rPr>
        <w:t>го дня прав потребителей, на сайтах общеобразовательных организациях разм</w:t>
      </w:r>
      <w:r w:rsidR="00CC0619" w:rsidRPr="008845D0">
        <w:rPr>
          <w:rFonts w:ascii="Arial" w:hAnsi="Arial" w:cs="Arial"/>
        </w:rPr>
        <w:t>е</w:t>
      </w:r>
      <w:r w:rsidR="00CC0619" w:rsidRPr="008845D0">
        <w:rPr>
          <w:rFonts w:ascii="Arial" w:hAnsi="Arial" w:cs="Arial"/>
        </w:rPr>
        <w:t>щены информации о проведенных мероприятиях.</w:t>
      </w:r>
    </w:p>
    <w:p w:rsidR="003D4465" w:rsidRDefault="006860C9" w:rsidP="005B1202">
      <w:pPr>
        <w:ind w:firstLine="709"/>
        <w:contextualSpacing/>
        <w:jc w:val="both"/>
        <w:rPr>
          <w:rFonts w:ascii="Arial" w:hAnsi="Arial" w:cs="Arial"/>
        </w:rPr>
      </w:pPr>
      <w:r w:rsidRPr="008845D0">
        <w:rPr>
          <w:rFonts w:ascii="Arial" w:hAnsi="Arial" w:cs="Arial"/>
        </w:rPr>
        <w:t>В течение года разработаны и размещены в эфире национального телев</w:t>
      </w:r>
      <w:r w:rsidRPr="008845D0">
        <w:rPr>
          <w:rFonts w:ascii="Arial" w:hAnsi="Arial" w:cs="Arial"/>
        </w:rPr>
        <w:t>и</w:t>
      </w:r>
      <w:r w:rsidRPr="008845D0">
        <w:rPr>
          <w:rFonts w:ascii="Arial" w:hAnsi="Arial" w:cs="Arial"/>
        </w:rPr>
        <w:t>дения  3 телепередачи, посвященные защите прав потребителей.</w:t>
      </w:r>
    </w:p>
    <w:p w:rsidR="00432E53" w:rsidRDefault="003D4465" w:rsidP="005B1202">
      <w:pPr>
        <w:ind w:firstLine="709"/>
        <w:contextualSpacing/>
        <w:jc w:val="both"/>
        <w:rPr>
          <w:rFonts w:ascii="Arial" w:hAnsi="Arial" w:cs="Arial"/>
        </w:rPr>
      </w:pPr>
      <w:r>
        <w:rPr>
          <w:rFonts w:ascii="Arial" w:hAnsi="Arial" w:cs="Arial"/>
        </w:rPr>
        <w:t>По результатам проводимой работы в</w:t>
      </w:r>
      <w:r w:rsidR="00432E53" w:rsidRPr="008845D0">
        <w:rPr>
          <w:rFonts w:ascii="Arial" w:hAnsi="Arial" w:cs="Arial"/>
        </w:rPr>
        <w:t xml:space="preserve"> </w:t>
      </w:r>
      <w:r w:rsidR="001261DC">
        <w:rPr>
          <w:rFonts w:ascii="Arial" w:hAnsi="Arial" w:cs="Arial"/>
        </w:rPr>
        <w:t xml:space="preserve">2023 году в </w:t>
      </w:r>
      <w:r w:rsidR="00432E53" w:rsidRPr="008845D0">
        <w:rPr>
          <w:rFonts w:ascii="Arial" w:hAnsi="Arial" w:cs="Arial"/>
        </w:rPr>
        <w:t>рейтинге субъектов Ро</w:t>
      </w:r>
      <w:r w:rsidR="00432E53" w:rsidRPr="008845D0">
        <w:rPr>
          <w:rFonts w:ascii="Arial" w:hAnsi="Arial" w:cs="Arial"/>
        </w:rPr>
        <w:t>с</w:t>
      </w:r>
      <w:r w:rsidR="00432E53" w:rsidRPr="008845D0">
        <w:rPr>
          <w:rFonts w:ascii="Arial" w:hAnsi="Arial" w:cs="Arial"/>
        </w:rPr>
        <w:t xml:space="preserve">сийской Федерации по уровню защищенности потребителей Чувашия заняла </w:t>
      </w:r>
      <w:r w:rsidR="006F6F37" w:rsidRPr="008845D0">
        <w:rPr>
          <w:rFonts w:ascii="Arial" w:hAnsi="Arial" w:cs="Arial"/>
        </w:rPr>
        <w:t>7</w:t>
      </w:r>
      <w:r w:rsidR="00432E53" w:rsidRPr="008845D0">
        <w:rPr>
          <w:rFonts w:ascii="Arial" w:hAnsi="Arial" w:cs="Arial"/>
        </w:rPr>
        <w:t xml:space="preserve"> место в группе из 1</w:t>
      </w:r>
      <w:r w:rsidR="006F6F37" w:rsidRPr="008845D0">
        <w:rPr>
          <w:rFonts w:ascii="Arial" w:hAnsi="Arial" w:cs="Arial"/>
        </w:rPr>
        <w:t>9</w:t>
      </w:r>
      <w:r w:rsidR="00432E53" w:rsidRPr="008845D0">
        <w:rPr>
          <w:rFonts w:ascii="Arial" w:hAnsi="Arial" w:cs="Arial"/>
        </w:rPr>
        <w:t xml:space="preserve"> субъектов Российской Федерации с высоким уровнем защ</w:t>
      </w:r>
      <w:r w:rsidR="00432E53" w:rsidRPr="008845D0">
        <w:rPr>
          <w:rFonts w:ascii="Arial" w:hAnsi="Arial" w:cs="Arial"/>
        </w:rPr>
        <w:t>и</w:t>
      </w:r>
      <w:r w:rsidR="00432E53" w:rsidRPr="008845D0">
        <w:rPr>
          <w:rFonts w:ascii="Arial" w:hAnsi="Arial" w:cs="Arial"/>
        </w:rPr>
        <w:t>щенности</w:t>
      </w:r>
      <w:r w:rsidR="006860C9" w:rsidRPr="008845D0">
        <w:rPr>
          <w:rFonts w:ascii="Arial" w:hAnsi="Arial" w:cs="Arial"/>
        </w:rPr>
        <w:t xml:space="preserve"> (в 2021 году – 10 место)</w:t>
      </w:r>
      <w:r w:rsidR="00432E53" w:rsidRPr="008845D0">
        <w:rPr>
          <w:rFonts w:ascii="Arial" w:hAnsi="Arial" w:cs="Arial"/>
        </w:rPr>
        <w:t>.</w:t>
      </w:r>
    </w:p>
    <w:p w:rsidR="003D2F6C" w:rsidRDefault="003D2F6C" w:rsidP="005B1202">
      <w:pPr>
        <w:ind w:firstLine="709"/>
        <w:contextualSpacing/>
        <w:jc w:val="both"/>
        <w:rPr>
          <w:rFonts w:ascii="Arial" w:hAnsi="Arial" w:cs="Arial"/>
        </w:rPr>
      </w:pPr>
    </w:p>
    <w:sectPr w:rsidR="003D2F6C" w:rsidSect="008D6323">
      <w:headerReference w:type="even" r:id="rId19"/>
      <w:headerReference w:type="default" r:id="rId20"/>
      <w:pgSz w:w="11906" w:h="16838"/>
      <w:pgMar w:top="1134" w:right="851" w:bottom="851"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B1" w:rsidRDefault="00E35FB1">
      <w:r>
        <w:separator/>
      </w:r>
    </w:p>
  </w:endnote>
  <w:endnote w:type="continuationSeparator" w:id="0">
    <w:p w:rsidR="00E35FB1" w:rsidRDefault="00E3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panose1 w:val="00000000000000000000"/>
    <w:charset w:val="00"/>
    <w:family w:val="roman"/>
    <w:notTrueType/>
    <w:pitch w:val="default"/>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B1" w:rsidRDefault="00E35FB1">
      <w:r>
        <w:separator/>
      </w:r>
    </w:p>
  </w:footnote>
  <w:footnote w:type="continuationSeparator" w:id="0">
    <w:p w:rsidR="00E35FB1" w:rsidRDefault="00E3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E0" w:rsidRDefault="00082EE0">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2EE0" w:rsidRDefault="00082E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E0" w:rsidRPr="000F02AC" w:rsidRDefault="00082EE0">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9A59AC">
      <w:rPr>
        <w:rStyle w:val="ae"/>
        <w:rFonts w:ascii="Arial" w:hAnsi="Arial" w:cs="Arial"/>
        <w:noProof/>
        <w:sz w:val="22"/>
        <w:szCs w:val="22"/>
      </w:rPr>
      <w:t>25</w:t>
    </w:r>
    <w:r w:rsidRPr="000F02AC">
      <w:rPr>
        <w:rStyle w:val="ae"/>
        <w:rFonts w:ascii="Arial" w:hAnsi="Arial" w:cs="Arial"/>
        <w:sz w:val="22"/>
        <w:szCs w:val="22"/>
      </w:rPr>
      <w:fldChar w:fldCharType="end"/>
    </w:r>
  </w:p>
  <w:p w:rsidR="00082EE0" w:rsidRDefault="00082EE0">
    <w:pPr>
      <w:pStyle w:val="ab"/>
    </w:pPr>
  </w:p>
  <w:p w:rsidR="00082EE0" w:rsidRDefault="00082E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2EE0"/>
    <w:rsid w:val="000835F4"/>
    <w:rsid w:val="00084168"/>
    <w:rsid w:val="0008689A"/>
    <w:rsid w:val="00087599"/>
    <w:rsid w:val="000929AF"/>
    <w:rsid w:val="00092CEF"/>
    <w:rsid w:val="00094372"/>
    <w:rsid w:val="00096767"/>
    <w:rsid w:val="00097370"/>
    <w:rsid w:val="000A3F1F"/>
    <w:rsid w:val="000A4B52"/>
    <w:rsid w:val="000A5383"/>
    <w:rsid w:val="000A5479"/>
    <w:rsid w:val="000B143C"/>
    <w:rsid w:val="000B2B61"/>
    <w:rsid w:val="000B2FD8"/>
    <w:rsid w:val="000B36AE"/>
    <w:rsid w:val="000B4A2D"/>
    <w:rsid w:val="000B4A59"/>
    <w:rsid w:val="000B75BE"/>
    <w:rsid w:val="000C0067"/>
    <w:rsid w:val="000C0618"/>
    <w:rsid w:val="000C1F67"/>
    <w:rsid w:val="000C24D1"/>
    <w:rsid w:val="000C270F"/>
    <w:rsid w:val="000C3222"/>
    <w:rsid w:val="000C4CD6"/>
    <w:rsid w:val="000D0D6A"/>
    <w:rsid w:val="000D4A1A"/>
    <w:rsid w:val="000D777A"/>
    <w:rsid w:val="000E162E"/>
    <w:rsid w:val="000E1A32"/>
    <w:rsid w:val="000E1BEF"/>
    <w:rsid w:val="000E1DA4"/>
    <w:rsid w:val="000E294A"/>
    <w:rsid w:val="000E61E7"/>
    <w:rsid w:val="000E709D"/>
    <w:rsid w:val="000E7A55"/>
    <w:rsid w:val="000F02AC"/>
    <w:rsid w:val="000F03C1"/>
    <w:rsid w:val="000F0C39"/>
    <w:rsid w:val="000F10CC"/>
    <w:rsid w:val="000F2E60"/>
    <w:rsid w:val="000F3D6C"/>
    <w:rsid w:val="00107890"/>
    <w:rsid w:val="0010794F"/>
    <w:rsid w:val="00107D03"/>
    <w:rsid w:val="00107F5B"/>
    <w:rsid w:val="001129D4"/>
    <w:rsid w:val="00116504"/>
    <w:rsid w:val="00116569"/>
    <w:rsid w:val="001169A8"/>
    <w:rsid w:val="00120771"/>
    <w:rsid w:val="00120E81"/>
    <w:rsid w:val="001221DA"/>
    <w:rsid w:val="0012305F"/>
    <w:rsid w:val="0012364E"/>
    <w:rsid w:val="00125D4F"/>
    <w:rsid w:val="001261DC"/>
    <w:rsid w:val="0013005A"/>
    <w:rsid w:val="001301DA"/>
    <w:rsid w:val="001323D6"/>
    <w:rsid w:val="0013295F"/>
    <w:rsid w:val="001342FE"/>
    <w:rsid w:val="0013527A"/>
    <w:rsid w:val="001352BD"/>
    <w:rsid w:val="00135D12"/>
    <w:rsid w:val="00141434"/>
    <w:rsid w:val="00150840"/>
    <w:rsid w:val="00151455"/>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5025"/>
    <w:rsid w:val="00186ED1"/>
    <w:rsid w:val="00187C29"/>
    <w:rsid w:val="001916E9"/>
    <w:rsid w:val="0019293F"/>
    <w:rsid w:val="00197837"/>
    <w:rsid w:val="001A4177"/>
    <w:rsid w:val="001A5841"/>
    <w:rsid w:val="001A6547"/>
    <w:rsid w:val="001A70F6"/>
    <w:rsid w:val="001A7736"/>
    <w:rsid w:val="001B0609"/>
    <w:rsid w:val="001B1389"/>
    <w:rsid w:val="001B4CE3"/>
    <w:rsid w:val="001B56E3"/>
    <w:rsid w:val="001C311F"/>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2BA"/>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251E"/>
    <w:rsid w:val="0025521D"/>
    <w:rsid w:val="002552B3"/>
    <w:rsid w:val="00256CC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1C09"/>
    <w:rsid w:val="002B4184"/>
    <w:rsid w:val="002C0D13"/>
    <w:rsid w:val="002C524F"/>
    <w:rsid w:val="002D3880"/>
    <w:rsid w:val="002D54D4"/>
    <w:rsid w:val="002E5712"/>
    <w:rsid w:val="002E586B"/>
    <w:rsid w:val="002E6595"/>
    <w:rsid w:val="002F1912"/>
    <w:rsid w:val="002F20B7"/>
    <w:rsid w:val="002F4709"/>
    <w:rsid w:val="002F6DA2"/>
    <w:rsid w:val="002F7273"/>
    <w:rsid w:val="002F786D"/>
    <w:rsid w:val="003021B7"/>
    <w:rsid w:val="00302A5D"/>
    <w:rsid w:val="00307291"/>
    <w:rsid w:val="00307AED"/>
    <w:rsid w:val="003137C0"/>
    <w:rsid w:val="00313FC3"/>
    <w:rsid w:val="003145D2"/>
    <w:rsid w:val="003166F5"/>
    <w:rsid w:val="003175CD"/>
    <w:rsid w:val="00322B1F"/>
    <w:rsid w:val="0032308C"/>
    <w:rsid w:val="003247A8"/>
    <w:rsid w:val="0032556D"/>
    <w:rsid w:val="0032698D"/>
    <w:rsid w:val="003277D3"/>
    <w:rsid w:val="0033149E"/>
    <w:rsid w:val="00331693"/>
    <w:rsid w:val="003324E6"/>
    <w:rsid w:val="003338DC"/>
    <w:rsid w:val="00333A18"/>
    <w:rsid w:val="0033560C"/>
    <w:rsid w:val="0033623C"/>
    <w:rsid w:val="00337947"/>
    <w:rsid w:val="00340745"/>
    <w:rsid w:val="0034276C"/>
    <w:rsid w:val="00342BDF"/>
    <w:rsid w:val="003436E1"/>
    <w:rsid w:val="00345BDC"/>
    <w:rsid w:val="003469D7"/>
    <w:rsid w:val="00346E88"/>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8107B"/>
    <w:rsid w:val="003814F2"/>
    <w:rsid w:val="00382C9E"/>
    <w:rsid w:val="0038744C"/>
    <w:rsid w:val="003904ED"/>
    <w:rsid w:val="00393E5B"/>
    <w:rsid w:val="0039455F"/>
    <w:rsid w:val="00394BEC"/>
    <w:rsid w:val="003958B5"/>
    <w:rsid w:val="00395AE6"/>
    <w:rsid w:val="00395F31"/>
    <w:rsid w:val="003A0E3F"/>
    <w:rsid w:val="003A2492"/>
    <w:rsid w:val="003A31ED"/>
    <w:rsid w:val="003A51F8"/>
    <w:rsid w:val="003A70D8"/>
    <w:rsid w:val="003B015D"/>
    <w:rsid w:val="003B1055"/>
    <w:rsid w:val="003B32FA"/>
    <w:rsid w:val="003B6D9F"/>
    <w:rsid w:val="003B6DCB"/>
    <w:rsid w:val="003B7132"/>
    <w:rsid w:val="003C1717"/>
    <w:rsid w:val="003C1B40"/>
    <w:rsid w:val="003C416A"/>
    <w:rsid w:val="003C4527"/>
    <w:rsid w:val="003C588F"/>
    <w:rsid w:val="003C5B24"/>
    <w:rsid w:val="003C70E7"/>
    <w:rsid w:val="003C7C0F"/>
    <w:rsid w:val="003C7E11"/>
    <w:rsid w:val="003D08A3"/>
    <w:rsid w:val="003D2F6C"/>
    <w:rsid w:val="003D4465"/>
    <w:rsid w:val="003D664F"/>
    <w:rsid w:val="003E3129"/>
    <w:rsid w:val="003E3A32"/>
    <w:rsid w:val="003E5FC8"/>
    <w:rsid w:val="003F4798"/>
    <w:rsid w:val="003F5199"/>
    <w:rsid w:val="0040049F"/>
    <w:rsid w:val="0040178F"/>
    <w:rsid w:val="0040196C"/>
    <w:rsid w:val="00401DF5"/>
    <w:rsid w:val="004037CC"/>
    <w:rsid w:val="00403E74"/>
    <w:rsid w:val="0040463E"/>
    <w:rsid w:val="00407C74"/>
    <w:rsid w:val="00407E69"/>
    <w:rsid w:val="004103D2"/>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50CE6"/>
    <w:rsid w:val="00452B2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173F"/>
    <w:rsid w:val="00483C2E"/>
    <w:rsid w:val="00483E38"/>
    <w:rsid w:val="0048749A"/>
    <w:rsid w:val="004879D7"/>
    <w:rsid w:val="00490275"/>
    <w:rsid w:val="00492B4B"/>
    <w:rsid w:val="00493B16"/>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32BC"/>
    <w:rsid w:val="00507471"/>
    <w:rsid w:val="00511494"/>
    <w:rsid w:val="0051152F"/>
    <w:rsid w:val="005123D9"/>
    <w:rsid w:val="00515BFC"/>
    <w:rsid w:val="005164AE"/>
    <w:rsid w:val="005211B9"/>
    <w:rsid w:val="00521E26"/>
    <w:rsid w:val="005244E1"/>
    <w:rsid w:val="005254E4"/>
    <w:rsid w:val="00525651"/>
    <w:rsid w:val="0052614E"/>
    <w:rsid w:val="005266BB"/>
    <w:rsid w:val="00527AB8"/>
    <w:rsid w:val="00530003"/>
    <w:rsid w:val="00530B09"/>
    <w:rsid w:val="00531A58"/>
    <w:rsid w:val="00531E9E"/>
    <w:rsid w:val="0053226D"/>
    <w:rsid w:val="005328C4"/>
    <w:rsid w:val="0053309A"/>
    <w:rsid w:val="00533CDE"/>
    <w:rsid w:val="00534304"/>
    <w:rsid w:val="005344CF"/>
    <w:rsid w:val="0053453F"/>
    <w:rsid w:val="0053525C"/>
    <w:rsid w:val="00540007"/>
    <w:rsid w:val="00541612"/>
    <w:rsid w:val="00541678"/>
    <w:rsid w:val="00543B56"/>
    <w:rsid w:val="00544689"/>
    <w:rsid w:val="005448C2"/>
    <w:rsid w:val="005448E9"/>
    <w:rsid w:val="005461EA"/>
    <w:rsid w:val="00546D8F"/>
    <w:rsid w:val="00550229"/>
    <w:rsid w:val="00550870"/>
    <w:rsid w:val="00551FFA"/>
    <w:rsid w:val="00556246"/>
    <w:rsid w:val="005621BE"/>
    <w:rsid w:val="00562F38"/>
    <w:rsid w:val="00563883"/>
    <w:rsid w:val="00565877"/>
    <w:rsid w:val="005706DF"/>
    <w:rsid w:val="00572667"/>
    <w:rsid w:val="00572ACB"/>
    <w:rsid w:val="00580E1B"/>
    <w:rsid w:val="005815B9"/>
    <w:rsid w:val="00581743"/>
    <w:rsid w:val="00582FBD"/>
    <w:rsid w:val="00583395"/>
    <w:rsid w:val="00583CD1"/>
    <w:rsid w:val="00584195"/>
    <w:rsid w:val="0058448D"/>
    <w:rsid w:val="005847D0"/>
    <w:rsid w:val="00587113"/>
    <w:rsid w:val="00587B0B"/>
    <w:rsid w:val="0059257C"/>
    <w:rsid w:val="00592742"/>
    <w:rsid w:val="00595C31"/>
    <w:rsid w:val="00597716"/>
    <w:rsid w:val="005A02E9"/>
    <w:rsid w:val="005A0DEB"/>
    <w:rsid w:val="005A39D9"/>
    <w:rsid w:val="005A7610"/>
    <w:rsid w:val="005A789A"/>
    <w:rsid w:val="005A7FC7"/>
    <w:rsid w:val="005B09E8"/>
    <w:rsid w:val="005B1202"/>
    <w:rsid w:val="005B161F"/>
    <w:rsid w:val="005B2A7B"/>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1DB"/>
    <w:rsid w:val="005E5C5E"/>
    <w:rsid w:val="005E7206"/>
    <w:rsid w:val="005F0126"/>
    <w:rsid w:val="005F0A71"/>
    <w:rsid w:val="005F1613"/>
    <w:rsid w:val="005F6F77"/>
    <w:rsid w:val="005F73D2"/>
    <w:rsid w:val="00603CFB"/>
    <w:rsid w:val="00607996"/>
    <w:rsid w:val="00611BD2"/>
    <w:rsid w:val="00612FBC"/>
    <w:rsid w:val="0061376A"/>
    <w:rsid w:val="0061689B"/>
    <w:rsid w:val="00617B7F"/>
    <w:rsid w:val="0062300F"/>
    <w:rsid w:val="00623162"/>
    <w:rsid w:val="00625AB1"/>
    <w:rsid w:val="00626298"/>
    <w:rsid w:val="006310C3"/>
    <w:rsid w:val="00633DCB"/>
    <w:rsid w:val="0063456A"/>
    <w:rsid w:val="00634831"/>
    <w:rsid w:val="00635099"/>
    <w:rsid w:val="00636B86"/>
    <w:rsid w:val="00637197"/>
    <w:rsid w:val="006432A5"/>
    <w:rsid w:val="00644B62"/>
    <w:rsid w:val="00644E87"/>
    <w:rsid w:val="00646B9D"/>
    <w:rsid w:val="0064709B"/>
    <w:rsid w:val="00647A7C"/>
    <w:rsid w:val="00647EF9"/>
    <w:rsid w:val="0065074D"/>
    <w:rsid w:val="006509BB"/>
    <w:rsid w:val="00652501"/>
    <w:rsid w:val="0065340F"/>
    <w:rsid w:val="00654AD5"/>
    <w:rsid w:val="00655EA7"/>
    <w:rsid w:val="00655EEB"/>
    <w:rsid w:val="00656206"/>
    <w:rsid w:val="0065681D"/>
    <w:rsid w:val="0066144E"/>
    <w:rsid w:val="00662297"/>
    <w:rsid w:val="006651B7"/>
    <w:rsid w:val="006662ED"/>
    <w:rsid w:val="00666901"/>
    <w:rsid w:val="006716F2"/>
    <w:rsid w:val="00671A22"/>
    <w:rsid w:val="00671E0C"/>
    <w:rsid w:val="006721D1"/>
    <w:rsid w:val="00680946"/>
    <w:rsid w:val="00680BF4"/>
    <w:rsid w:val="006821CA"/>
    <w:rsid w:val="00683F88"/>
    <w:rsid w:val="00685878"/>
    <w:rsid w:val="006860C9"/>
    <w:rsid w:val="0068645C"/>
    <w:rsid w:val="006868A2"/>
    <w:rsid w:val="006900EF"/>
    <w:rsid w:val="00690C79"/>
    <w:rsid w:val="00691AD6"/>
    <w:rsid w:val="0069385C"/>
    <w:rsid w:val="00693E9B"/>
    <w:rsid w:val="00693FC5"/>
    <w:rsid w:val="006941BF"/>
    <w:rsid w:val="00695D9C"/>
    <w:rsid w:val="00697761"/>
    <w:rsid w:val="006A12C3"/>
    <w:rsid w:val="006A287D"/>
    <w:rsid w:val="006A3079"/>
    <w:rsid w:val="006A3B02"/>
    <w:rsid w:val="006B42CE"/>
    <w:rsid w:val="006B61E6"/>
    <w:rsid w:val="006B7E20"/>
    <w:rsid w:val="006C2503"/>
    <w:rsid w:val="006C2B6A"/>
    <w:rsid w:val="006C2EE4"/>
    <w:rsid w:val="006C4906"/>
    <w:rsid w:val="006C61EB"/>
    <w:rsid w:val="006D2407"/>
    <w:rsid w:val="006D539B"/>
    <w:rsid w:val="006E2D8E"/>
    <w:rsid w:val="006E355A"/>
    <w:rsid w:val="006E5BC2"/>
    <w:rsid w:val="006F0792"/>
    <w:rsid w:val="006F09AB"/>
    <w:rsid w:val="006F1939"/>
    <w:rsid w:val="006F397D"/>
    <w:rsid w:val="006F6F37"/>
    <w:rsid w:val="007052A2"/>
    <w:rsid w:val="00705521"/>
    <w:rsid w:val="00705C5A"/>
    <w:rsid w:val="007102E4"/>
    <w:rsid w:val="00710A94"/>
    <w:rsid w:val="007121DD"/>
    <w:rsid w:val="00715A99"/>
    <w:rsid w:val="00715E9B"/>
    <w:rsid w:val="00720C33"/>
    <w:rsid w:val="00724719"/>
    <w:rsid w:val="00725883"/>
    <w:rsid w:val="0072621A"/>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F90"/>
    <w:rsid w:val="00757420"/>
    <w:rsid w:val="007607BE"/>
    <w:rsid w:val="007610BA"/>
    <w:rsid w:val="00761692"/>
    <w:rsid w:val="00764500"/>
    <w:rsid w:val="007645B5"/>
    <w:rsid w:val="00764BD3"/>
    <w:rsid w:val="00764CFD"/>
    <w:rsid w:val="007658BF"/>
    <w:rsid w:val="00765F71"/>
    <w:rsid w:val="0076773E"/>
    <w:rsid w:val="00771461"/>
    <w:rsid w:val="00773A14"/>
    <w:rsid w:val="007757E2"/>
    <w:rsid w:val="0078044E"/>
    <w:rsid w:val="00780ED7"/>
    <w:rsid w:val="0078388A"/>
    <w:rsid w:val="00783D5F"/>
    <w:rsid w:val="0078439E"/>
    <w:rsid w:val="00785924"/>
    <w:rsid w:val="00786456"/>
    <w:rsid w:val="0079035F"/>
    <w:rsid w:val="007923CD"/>
    <w:rsid w:val="007957DE"/>
    <w:rsid w:val="00797A68"/>
    <w:rsid w:val="00797E70"/>
    <w:rsid w:val="007A032E"/>
    <w:rsid w:val="007A09A1"/>
    <w:rsid w:val="007A6725"/>
    <w:rsid w:val="007A6BFE"/>
    <w:rsid w:val="007A7403"/>
    <w:rsid w:val="007B0008"/>
    <w:rsid w:val="007B1150"/>
    <w:rsid w:val="007B3CE6"/>
    <w:rsid w:val="007B3DAE"/>
    <w:rsid w:val="007B40F3"/>
    <w:rsid w:val="007B48FE"/>
    <w:rsid w:val="007B67B9"/>
    <w:rsid w:val="007B6E44"/>
    <w:rsid w:val="007C0AD7"/>
    <w:rsid w:val="007C0CD6"/>
    <w:rsid w:val="007C1A33"/>
    <w:rsid w:val="007C1DB7"/>
    <w:rsid w:val="007C2059"/>
    <w:rsid w:val="007C4ED9"/>
    <w:rsid w:val="007C66F3"/>
    <w:rsid w:val="007D32D4"/>
    <w:rsid w:val="007D3899"/>
    <w:rsid w:val="007D4405"/>
    <w:rsid w:val="007D68FA"/>
    <w:rsid w:val="007D74F2"/>
    <w:rsid w:val="007E1BC8"/>
    <w:rsid w:val="007E4AB1"/>
    <w:rsid w:val="007E6FA7"/>
    <w:rsid w:val="007F0A8F"/>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16F7"/>
    <w:rsid w:val="008221AE"/>
    <w:rsid w:val="0082377E"/>
    <w:rsid w:val="00823A46"/>
    <w:rsid w:val="0082696A"/>
    <w:rsid w:val="008277C7"/>
    <w:rsid w:val="0083240A"/>
    <w:rsid w:val="0083659A"/>
    <w:rsid w:val="008367D7"/>
    <w:rsid w:val="00841CB4"/>
    <w:rsid w:val="008420D9"/>
    <w:rsid w:val="00844202"/>
    <w:rsid w:val="00845C6F"/>
    <w:rsid w:val="00850A3E"/>
    <w:rsid w:val="0085473F"/>
    <w:rsid w:val="00860CCD"/>
    <w:rsid w:val="00865194"/>
    <w:rsid w:val="00865B7B"/>
    <w:rsid w:val="00873DED"/>
    <w:rsid w:val="00875160"/>
    <w:rsid w:val="008757B2"/>
    <w:rsid w:val="008762E1"/>
    <w:rsid w:val="00876795"/>
    <w:rsid w:val="00883730"/>
    <w:rsid w:val="0088395F"/>
    <w:rsid w:val="008845D0"/>
    <w:rsid w:val="00884ED2"/>
    <w:rsid w:val="00884F46"/>
    <w:rsid w:val="008855B4"/>
    <w:rsid w:val="00887E0A"/>
    <w:rsid w:val="00890373"/>
    <w:rsid w:val="00890A0C"/>
    <w:rsid w:val="008928A3"/>
    <w:rsid w:val="008929DB"/>
    <w:rsid w:val="00894C7E"/>
    <w:rsid w:val="008A208C"/>
    <w:rsid w:val="008A2764"/>
    <w:rsid w:val="008A2FE2"/>
    <w:rsid w:val="008A55C8"/>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D506C"/>
    <w:rsid w:val="008D6323"/>
    <w:rsid w:val="008E0ECB"/>
    <w:rsid w:val="008E4AAF"/>
    <w:rsid w:val="008E4B80"/>
    <w:rsid w:val="008E6A97"/>
    <w:rsid w:val="008F340F"/>
    <w:rsid w:val="008F5DE0"/>
    <w:rsid w:val="00900FBF"/>
    <w:rsid w:val="0090566A"/>
    <w:rsid w:val="00906C64"/>
    <w:rsid w:val="00907156"/>
    <w:rsid w:val="0091155F"/>
    <w:rsid w:val="009122A1"/>
    <w:rsid w:val="00913D7F"/>
    <w:rsid w:val="00917765"/>
    <w:rsid w:val="00926CB9"/>
    <w:rsid w:val="009275DB"/>
    <w:rsid w:val="00931316"/>
    <w:rsid w:val="00934C90"/>
    <w:rsid w:val="00935931"/>
    <w:rsid w:val="00936573"/>
    <w:rsid w:val="0094521A"/>
    <w:rsid w:val="0094730E"/>
    <w:rsid w:val="0095110C"/>
    <w:rsid w:val="0095127F"/>
    <w:rsid w:val="009523C8"/>
    <w:rsid w:val="009525BB"/>
    <w:rsid w:val="00952A8A"/>
    <w:rsid w:val="00955C59"/>
    <w:rsid w:val="0095742D"/>
    <w:rsid w:val="00960025"/>
    <w:rsid w:val="009607CF"/>
    <w:rsid w:val="009616BA"/>
    <w:rsid w:val="009628D3"/>
    <w:rsid w:val="00962D66"/>
    <w:rsid w:val="00963041"/>
    <w:rsid w:val="00963386"/>
    <w:rsid w:val="009644A7"/>
    <w:rsid w:val="0096673E"/>
    <w:rsid w:val="0096737A"/>
    <w:rsid w:val="00970489"/>
    <w:rsid w:val="0097197B"/>
    <w:rsid w:val="00973341"/>
    <w:rsid w:val="009753AA"/>
    <w:rsid w:val="00980024"/>
    <w:rsid w:val="00982FE9"/>
    <w:rsid w:val="00984FC7"/>
    <w:rsid w:val="009853A0"/>
    <w:rsid w:val="0098552F"/>
    <w:rsid w:val="00986755"/>
    <w:rsid w:val="0098681B"/>
    <w:rsid w:val="009868CA"/>
    <w:rsid w:val="00990D17"/>
    <w:rsid w:val="009921AE"/>
    <w:rsid w:val="0099372F"/>
    <w:rsid w:val="00995D88"/>
    <w:rsid w:val="0099619E"/>
    <w:rsid w:val="00996856"/>
    <w:rsid w:val="00996E74"/>
    <w:rsid w:val="009A0471"/>
    <w:rsid w:val="009A45D6"/>
    <w:rsid w:val="009A59AC"/>
    <w:rsid w:val="009A5E52"/>
    <w:rsid w:val="009A7397"/>
    <w:rsid w:val="009A77B6"/>
    <w:rsid w:val="009B24EC"/>
    <w:rsid w:val="009B2F48"/>
    <w:rsid w:val="009B6713"/>
    <w:rsid w:val="009B68A1"/>
    <w:rsid w:val="009B71DC"/>
    <w:rsid w:val="009C1614"/>
    <w:rsid w:val="009C3A7F"/>
    <w:rsid w:val="009C5718"/>
    <w:rsid w:val="009C6FA2"/>
    <w:rsid w:val="009D04CB"/>
    <w:rsid w:val="009D3E54"/>
    <w:rsid w:val="009D3FA8"/>
    <w:rsid w:val="009D57B2"/>
    <w:rsid w:val="009E1530"/>
    <w:rsid w:val="009E1ED8"/>
    <w:rsid w:val="009E2496"/>
    <w:rsid w:val="009E3812"/>
    <w:rsid w:val="009E43DC"/>
    <w:rsid w:val="009E7F88"/>
    <w:rsid w:val="009F1C09"/>
    <w:rsid w:val="009F3121"/>
    <w:rsid w:val="009F4327"/>
    <w:rsid w:val="009F50EA"/>
    <w:rsid w:val="009F5E2D"/>
    <w:rsid w:val="009F7031"/>
    <w:rsid w:val="00A01912"/>
    <w:rsid w:val="00A024EC"/>
    <w:rsid w:val="00A046C8"/>
    <w:rsid w:val="00A06DC5"/>
    <w:rsid w:val="00A12D01"/>
    <w:rsid w:val="00A13321"/>
    <w:rsid w:val="00A134D9"/>
    <w:rsid w:val="00A145A8"/>
    <w:rsid w:val="00A161E3"/>
    <w:rsid w:val="00A220FF"/>
    <w:rsid w:val="00A22204"/>
    <w:rsid w:val="00A222B3"/>
    <w:rsid w:val="00A22E5C"/>
    <w:rsid w:val="00A24F90"/>
    <w:rsid w:val="00A32081"/>
    <w:rsid w:val="00A32312"/>
    <w:rsid w:val="00A3334C"/>
    <w:rsid w:val="00A3367C"/>
    <w:rsid w:val="00A34090"/>
    <w:rsid w:val="00A346B0"/>
    <w:rsid w:val="00A3543B"/>
    <w:rsid w:val="00A35D5F"/>
    <w:rsid w:val="00A3667E"/>
    <w:rsid w:val="00A37624"/>
    <w:rsid w:val="00A43812"/>
    <w:rsid w:val="00A45401"/>
    <w:rsid w:val="00A46161"/>
    <w:rsid w:val="00A46D08"/>
    <w:rsid w:val="00A5003C"/>
    <w:rsid w:val="00A52F4D"/>
    <w:rsid w:val="00A53D3B"/>
    <w:rsid w:val="00A55EED"/>
    <w:rsid w:val="00A56740"/>
    <w:rsid w:val="00A56895"/>
    <w:rsid w:val="00A578BB"/>
    <w:rsid w:val="00A5791B"/>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D73"/>
    <w:rsid w:val="00AB0314"/>
    <w:rsid w:val="00AB06D3"/>
    <w:rsid w:val="00AB34E7"/>
    <w:rsid w:val="00AB3733"/>
    <w:rsid w:val="00AB5BE7"/>
    <w:rsid w:val="00AB6243"/>
    <w:rsid w:val="00AB62DC"/>
    <w:rsid w:val="00AB6923"/>
    <w:rsid w:val="00AC0E44"/>
    <w:rsid w:val="00AC3227"/>
    <w:rsid w:val="00AC3253"/>
    <w:rsid w:val="00AC570C"/>
    <w:rsid w:val="00AC73AC"/>
    <w:rsid w:val="00AD2BE7"/>
    <w:rsid w:val="00AD5A25"/>
    <w:rsid w:val="00AD7031"/>
    <w:rsid w:val="00AD78BA"/>
    <w:rsid w:val="00AE7F03"/>
    <w:rsid w:val="00AF2410"/>
    <w:rsid w:val="00AF2721"/>
    <w:rsid w:val="00AF3CF3"/>
    <w:rsid w:val="00AF4FA3"/>
    <w:rsid w:val="00AF55F2"/>
    <w:rsid w:val="00AF71B2"/>
    <w:rsid w:val="00B0050E"/>
    <w:rsid w:val="00B03F69"/>
    <w:rsid w:val="00B04DD6"/>
    <w:rsid w:val="00B06479"/>
    <w:rsid w:val="00B07F25"/>
    <w:rsid w:val="00B11DE2"/>
    <w:rsid w:val="00B12981"/>
    <w:rsid w:val="00B16514"/>
    <w:rsid w:val="00B22377"/>
    <w:rsid w:val="00B223DC"/>
    <w:rsid w:val="00B24CB9"/>
    <w:rsid w:val="00B26530"/>
    <w:rsid w:val="00B2754B"/>
    <w:rsid w:val="00B337EA"/>
    <w:rsid w:val="00B343E6"/>
    <w:rsid w:val="00B34738"/>
    <w:rsid w:val="00B35656"/>
    <w:rsid w:val="00B36B89"/>
    <w:rsid w:val="00B37982"/>
    <w:rsid w:val="00B41447"/>
    <w:rsid w:val="00B4258C"/>
    <w:rsid w:val="00B42862"/>
    <w:rsid w:val="00B42AE9"/>
    <w:rsid w:val="00B44354"/>
    <w:rsid w:val="00B4513C"/>
    <w:rsid w:val="00B452D3"/>
    <w:rsid w:val="00B46028"/>
    <w:rsid w:val="00B46168"/>
    <w:rsid w:val="00B51D9A"/>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088"/>
    <w:rsid w:val="00B742FC"/>
    <w:rsid w:val="00B82FF1"/>
    <w:rsid w:val="00B830EF"/>
    <w:rsid w:val="00B83407"/>
    <w:rsid w:val="00B83FBD"/>
    <w:rsid w:val="00B84BF5"/>
    <w:rsid w:val="00B8724E"/>
    <w:rsid w:val="00B90D68"/>
    <w:rsid w:val="00B90DED"/>
    <w:rsid w:val="00B930EA"/>
    <w:rsid w:val="00B9345F"/>
    <w:rsid w:val="00B935D6"/>
    <w:rsid w:val="00B95275"/>
    <w:rsid w:val="00B953C1"/>
    <w:rsid w:val="00B953D7"/>
    <w:rsid w:val="00B954DD"/>
    <w:rsid w:val="00B968C5"/>
    <w:rsid w:val="00B97857"/>
    <w:rsid w:val="00BA41D0"/>
    <w:rsid w:val="00BA727E"/>
    <w:rsid w:val="00BB02ED"/>
    <w:rsid w:val="00BB0AED"/>
    <w:rsid w:val="00BB1C85"/>
    <w:rsid w:val="00BB2709"/>
    <w:rsid w:val="00BB3BE0"/>
    <w:rsid w:val="00BB417B"/>
    <w:rsid w:val="00BB64FD"/>
    <w:rsid w:val="00BC0AFC"/>
    <w:rsid w:val="00BC34C2"/>
    <w:rsid w:val="00BC38C3"/>
    <w:rsid w:val="00BC3E54"/>
    <w:rsid w:val="00BC5DC2"/>
    <w:rsid w:val="00BC70B7"/>
    <w:rsid w:val="00BC764B"/>
    <w:rsid w:val="00BC7EED"/>
    <w:rsid w:val="00BD051F"/>
    <w:rsid w:val="00BD057C"/>
    <w:rsid w:val="00BD15CA"/>
    <w:rsid w:val="00BD2092"/>
    <w:rsid w:val="00BD2683"/>
    <w:rsid w:val="00BD3E3A"/>
    <w:rsid w:val="00BD43D9"/>
    <w:rsid w:val="00BD6B78"/>
    <w:rsid w:val="00BD6BAA"/>
    <w:rsid w:val="00BE03FE"/>
    <w:rsid w:val="00BE16B3"/>
    <w:rsid w:val="00BE4CDE"/>
    <w:rsid w:val="00BF0537"/>
    <w:rsid w:val="00BF08B8"/>
    <w:rsid w:val="00BF3374"/>
    <w:rsid w:val="00BF34EA"/>
    <w:rsid w:val="00BF42AC"/>
    <w:rsid w:val="00BF4F45"/>
    <w:rsid w:val="00C05410"/>
    <w:rsid w:val="00C05AD5"/>
    <w:rsid w:val="00C065CD"/>
    <w:rsid w:val="00C106A4"/>
    <w:rsid w:val="00C17CDA"/>
    <w:rsid w:val="00C17F46"/>
    <w:rsid w:val="00C22B9E"/>
    <w:rsid w:val="00C22D65"/>
    <w:rsid w:val="00C22E18"/>
    <w:rsid w:val="00C2363B"/>
    <w:rsid w:val="00C23848"/>
    <w:rsid w:val="00C2586F"/>
    <w:rsid w:val="00C27704"/>
    <w:rsid w:val="00C3031F"/>
    <w:rsid w:val="00C31E27"/>
    <w:rsid w:val="00C3313F"/>
    <w:rsid w:val="00C349B9"/>
    <w:rsid w:val="00C35A8B"/>
    <w:rsid w:val="00C363CB"/>
    <w:rsid w:val="00C379BA"/>
    <w:rsid w:val="00C40653"/>
    <w:rsid w:val="00C4069B"/>
    <w:rsid w:val="00C40988"/>
    <w:rsid w:val="00C422A4"/>
    <w:rsid w:val="00C42767"/>
    <w:rsid w:val="00C44A66"/>
    <w:rsid w:val="00C450C1"/>
    <w:rsid w:val="00C464F5"/>
    <w:rsid w:val="00C46650"/>
    <w:rsid w:val="00C47CFA"/>
    <w:rsid w:val="00C50296"/>
    <w:rsid w:val="00C50ABF"/>
    <w:rsid w:val="00C53A8A"/>
    <w:rsid w:val="00C5657B"/>
    <w:rsid w:val="00C578FA"/>
    <w:rsid w:val="00C60859"/>
    <w:rsid w:val="00C61454"/>
    <w:rsid w:val="00C66763"/>
    <w:rsid w:val="00C669B3"/>
    <w:rsid w:val="00C67B89"/>
    <w:rsid w:val="00C70000"/>
    <w:rsid w:val="00C72F68"/>
    <w:rsid w:val="00C813BF"/>
    <w:rsid w:val="00C818E6"/>
    <w:rsid w:val="00C853CC"/>
    <w:rsid w:val="00C907B8"/>
    <w:rsid w:val="00C935AD"/>
    <w:rsid w:val="00C9766A"/>
    <w:rsid w:val="00CA26D8"/>
    <w:rsid w:val="00CA294C"/>
    <w:rsid w:val="00CA4B28"/>
    <w:rsid w:val="00CB4DEB"/>
    <w:rsid w:val="00CB53B7"/>
    <w:rsid w:val="00CB5CAA"/>
    <w:rsid w:val="00CB61A1"/>
    <w:rsid w:val="00CB6BCD"/>
    <w:rsid w:val="00CB74E1"/>
    <w:rsid w:val="00CC0619"/>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330"/>
    <w:rsid w:val="00CF0BFF"/>
    <w:rsid w:val="00CF1B4B"/>
    <w:rsid w:val="00CF416E"/>
    <w:rsid w:val="00D00B03"/>
    <w:rsid w:val="00D02235"/>
    <w:rsid w:val="00D04D72"/>
    <w:rsid w:val="00D04FCD"/>
    <w:rsid w:val="00D114B8"/>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3D39"/>
    <w:rsid w:val="00D949BB"/>
    <w:rsid w:val="00D94DA2"/>
    <w:rsid w:val="00D958BA"/>
    <w:rsid w:val="00D95D14"/>
    <w:rsid w:val="00D96548"/>
    <w:rsid w:val="00D96A9F"/>
    <w:rsid w:val="00D978F9"/>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2175"/>
    <w:rsid w:val="00DC3233"/>
    <w:rsid w:val="00DC50E9"/>
    <w:rsid w:val="00DC522A"/>
    <w:rsid w:val="00DC67CF"/>
    <w:rsid w:val="00DC6D0F"/>
    <w:rsid w:val="00DC7004"/>
    <w:rsid w:val="00DC76E8"/>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5FB1"/>
    <w:rsid w:val="00E361D3"/>
    <w:rsid w:val="00E407C0"/>
    <w:rsid w:val="00E41B91"/>
    <w:rsid w:val="00E423D0"/>
    <w:rsid w:val="00E46A02"/>
    <w:rsid w:val="00E51471"/>
    <w:rsid w:val="00E519CA"/>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667F"/>
    <w:rsid w:val="00E87319"/>
    <w:rsid w:val="00E91B87"/>
    <w:rsid w:val="00E92487"/>
    <w:rsid w:val="00E92650"/>
    <w:rsid w:val="00E9352C"/>
    <w:rsid w:val="00E93907"/>
    <w:rsid w:val="00E93930"/>
    <w:rsid w:val="00E94CC7"/>
    <w:rsid w:val="00E9599D"/>
    <w:rsid w:val="00E96288"/>
    <w:rsid w:val="00EA0482"/>
    <w:rsid w:val="00EA17BE"/>
    <w:rsid w:val="00EA1B6E"/>
    <w:rsid w:val="00EA22B6"/>
    <w:rsid w:val="00EA2CD3"/>
    <w:rsid w:val="00EA5834"/>
    <w:rsid w:val="00EA5C50"/>
    <w:rsid w:val="00EB46C8"/>
    <w:rsid w:val="00EB51D7"/>
    <w:rsid w:val="00EB78CB"/>
    <w:rsid w:val="00EC08D0"/>
    <w:rsid w:val="00EC20A2"/>
    <w:rsid w:val="00EC6485"/>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066E"/>
    <w:rsid w:val="00F1214B"/>
    <w:rsid w:val="00F1385E"/>
    <w:rsid w:val="00F1532C"/>
    <w:rsid w:val="00F16797"/>
    <w:rsid w:val="00F225BC"/>
    <w:rsid w:val="00F23216"/>
    <w:rsid w:val="00F27122"/>
    <w:rsid w:val="00F3110B"/>
    <w:rsid w:val="00F3136E"/>
    <w:rsid w:val="00F31847"/>
    <w:rsid w:val="00F336A8"/>
    <w:rsid w:val="00F33D8E"/>
    <w:rsid w:val="00F34543"/>
    <w:rsid w:val="00F3528F"/>
    <w:rsid w:val="00F355DC"/>
    <w:rsid w:val="00F35DE7"/>
    <w:rsid w:val="00F412C6"/>
    <w:rsid w:val="00F426E4"/>
    <w:rsid w:val="00F431D9"/>
    <w:rsid w:val="00F45E07"/>
    <w:rsid w:val="00F46CAF"/>
    <w:rsid w:val="00F51085"/>
    <w:rsid w:val="00F5674F"/>
    <w:rsid w:val="00F56FD6"/>
    <w:rsid w:val="00F575BC"/>
    <w:rsid w:val="00F6025C"/>
    <w:rsid w:val="00F614B8"/>
    <w:rsid w:val="00F63A8C"/>
    <w:rsid w:val="00F65BD3"/>
    <w:rsid w:val="00F65D32"/>
    <w:rsid w:val="00F65F09"/>
    <w:rsid w:val="00F732F9"/>
    <w:rsid w:val="00F737CC"/>
    <w:rsid w:val="00F73A91"/>
    <w:rsid w:val="00F74BB5"/>
    <w:rsid w:val="00F76891"/>
    <w:rsid w:val="00F81492"/>
    <w:rsid w:val="00F83C2D"/>
    <w:rsid w:val="00F8529E"/>
    <w:rsid w:val="00F85A22"/>
    <w:rsid w:val="00F86FDB"/>
    <w:rsid w:val="00F87CC0"/>
    <w:rsid w:val="00F93C22"/>
    <w:rsid w:val="00F96AB9"/>
    <w:rsid w:val="00F9728D"/>
    <w:rsid w:val="00FA3837"/>
    <w:rsid w:val="00FA4C16"/>
    <w:rsid w:val="00FA6592"/>
    <w:rsid w:val="00FB1D5B"/>
    <w:rsid w:val="00FB36FA"/>
    <w:rsid w:val="00FB4039"/>
    <w:rsid w:val="00FC02AA"/>
    <w:rsid w:val="00FC2BD8"/>
    <w:rsid w:val="00FC3FFB"/>
    <w:rsid w:val="00FC5E7D"/>
    <w:rsid w:val="00FC66C4"/>
    <w:rsid w:val="00FD0DFC"/>
    <w:rsid w:val="00FD22C4"/>
    <w:rsid w:val="00FD2625"/>
    <w:rsid w:val="00FD5B35"/>
    <w:rsid w:val="00FD66F9"/>
    <w:rsid w:val="00FD7EBC"/>
    <w:rsid w:val="00FE024B"/>
    <w:rsid w:val="00FE126F"/>
    <w:rsid w:val="00FE14C1"/>
    <w:rsid w:val="00FE1BF6"/>
    <w:rsid w:val="00FE2396"/>
    <w:rsid w:val="00FE46AD"/>
    <w:rsid w:val="00FE67FE"/>
    <w:rsid w:val="00FF016E"/>
    <w:rsid w:val="00FF31D6"/>
    <w:rsid w:val="00FF4689"/>
    <w:rsid w:val="00FF50E7"/>
    <w:rsid w:val="00FF6716"/>
    <w:rsid w:val="00FF6FAD"/>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2">
      <w:bodyDiv w:val="1"/>
      <w:marLeft w:val="0"/>
      <w:marRight w:val="0"/>
      <w:marTop w:val="0"/>
      <w:marBottom w:val="0"/>
      <w:divBdr>
        <w:top w:val="none" w:sz="0" w:space="0" w:color="auto"/>
        <w:left w:val="none" w:sz="0" w:space="0" w:color="auto"/>
        <w:bottom w:val="none" w:sz="0" w:space="0" w:color="auto"/>
        <w:right w:val="none" w:sz="0" w:space="0" w:color="auto"/>
      </w:divBdr>
    </w:div>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055281187">
      <w:bodyDiv w:val="1"/>
      <w:marLeft w:val="0"/>
      <w:marRight w:val="0"/>
      <w:marTop w:val="0"/>
      <w:marBottom w:val="0"/>
      <w:divBdr>
        <w:top w:val="none" w:sz="0" w:space="0" w:color="auto"/>
        <w:left w:val="none" w:sz="0" w:space="0" w:color="auto"/>
        <w:bottom w:val="none" w:sz="0" w:space="0" w:color="auto"/>
        <w:right w:val="none" w:sz="0" w:space="0" w:color="auto"/>
      </w:divBdr>
    </w:div>
    <w:div w:id="1206064649">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 w:id="197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621633251363446E-2"/>
          <c:y val="8.5555311145817284E-2"/>
          <c:w val="0.8733391489814345"/>
          <c:h val="0.65974627240888695"/>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bg2">
                  <a:lumMod val="50000"/>
                </a:schemeClr>
              </a:solidFill>
              <a:ln>
                <a:solidFill>
                  <a:schemeClr val="tx1">
                    <a:lumMod val="75000"/>
                    <a:lumOff val="25000"/>
                  </a:schemeClr>
                </a:solidFill>
              </a:ln>
            </c:spPr>
          </c:marker>
          <c:cat>
            <c:numRef>
              <c:f>Лист1!$A$2:$A$14</c:f>
              <c:numCache>
                <c:formatCode>mmm\-yy</c:formatCode>
                <c:ptCount val="13"/>
                <c:pt idx="0">
                  <c:v>44805</c:v>
                </c:pt>
                <c:pt idx="1">
                  <c:v>44835</c:v>
                </c:pt>
                <c:pt idx="2">
                  <c:v>44866</c:v>
                </c:pt>
                <c:pt idx="3">
                  <c:v>44896</c:v>
                </c:pt>
                <c:pt idx="4">
                  <c:v>44927</c:v>
                </c:pt>
                <c:pt idx="5">
                  <c:v>44593</c:v>
                </c:pt>
                <c:pt idx="6">
                  <c:v>44986</c:v>
                </c:pt>
                <c:pt idx="7">
                  <c:v>45017</c:v>
                </c:pt>
                <c:pt idx="8">
                  <c:v>45047</c:v>
                </c:pt>
                <c:pt idx="9">
                  <c:v>45078</c:v>
                </c:pt>
                <c:pt idx="10">
                  <c:v>45108</c:v>
                </c:pt>
                <c:pt idx="11">
                  <c:v>45139</c:v>
                </c:pt>
                <c:pt idx="12">
                  <c:v>45170</c:v>
                </c:pt>
              </c:numCache>
            </c:numRef>
          </c:cat>
          <c:val>
            <c:numRef>
              <c:f>Лист1!$B$2:$B$16</c:f>
              <c:numCache>
                <c:formatCode>0.0</c:formatCode>
                <c:ptCount val="15"/>
                <c:pt idx="0">
                  <c:v>94.7</c:v>
                </c:pt>
                <c:pt idx="1">
                  <c:v>94.2</c:v>
                </c:pt>
                <c:pt idx="2">
                  <c:v>94</c:v>
                </c:pt>
                <c:pt idx="3">
                  <c:v>93.5</c:v>
                </c:pt>
                <c:pt idx="4">
                  <c:v>92.5</c:v>
                </c:pt>
                <c:pt idx="5">
                  <c:v>91.9</c:v>
                </c:pt>
                <c:pt idx="6">
                  <c:v>93.1</c:v>
                </c:pt>
                <c:pt idx="7">
                  <c:v>96.8</c:v>
                </c:pt>
                <c:pt idx="8">
                  <c:v>99.4</c:v>
                </c:pt>
                <c:pt idx="9">
                  <c:v>101.2</c:v>
                </c:pt>
                <c:pt idx="10">
                  <c:v>102.6</c:v>
                </c:pt>
                <c:pt idx="11">
                  <c:v>103.7</c:v>
                </c:pt>
                <c:pt idx="12">
                  <c:v>104.7</c:v>
                </c:pt>
              </c:numCache>
            </c:numRef>
          </c:val>
          <c:smooth val="0"/>
        </c:ser>
        <c:ser>
          <c:idx val="1"/>
          <c:order val="1"/>
          <c:tx>
            <c:strRef>
              <c:f>Лист1!$C$1</c:f>
              <c:strCache>
                <c:ptCount val="1"/>
                <c:pt idx="0">
                  <c:v>ПФО</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cat>
            <c:numRef>
              <c:f>Лист1!$A$2:$A$14</c:f>
              <c:numCache>
                <c:formatCode>mmm\-yy</c:formatCode>
                <c:ptCount val="13"/>
                <c:pt idx="0">
                  <c:v>44805</c:v>
                </c:pt>
                <c:pt idx="1">
                  <c:v>44835</c:v>
                </c:pt>
                <c:pt idx="2">
                  <c:v>44866</c:v>
                </c:pt>
                <c:pt idx="3">
                  <c:v>44896</c:v>
                </c:pt>
                <c:pt idx="4">
                  <c:v>44927</c:v>
                </c:pt>
                <c:pt idx="5">
                  <c:v>44593</c:v>
                </c:pt>
                <c:pt idx="6">
                  <c:v>44986</c:v>
                </c:pt>
                <c:pt idx="7">
                  <c:v>45017</c:v>
                </c:pt>
                <c:pt idx="8">
                  <c:v>45047</c:v>
                </c:pt>
                <c:pt idx="9">
                  <c:v>45078</c:v>
                </c:pt>
                <c:pt idx="10">
                  <c:v>45108</c:v>
                </c:pt>
                <c:pt idx="11">
                  <c:v>45139</c:v>
                </c:pt>
                <c:pt idx="12">
                  <c:v>45170</c:v>
                </c:pt>
              </c:numCache>
            </c:numRef>
          </c:cat>
          <c:val>
            <c:numRef>
              <c:f>Лист1!$C$2:$C$16</c:f>
              <c:numCache>
                <c:formatCode>0.0</c:formatCode>
                <c:ptCount val="15"/>
                <c:pt idx="0">
                  <c:v>95.8</c:v>
                </c:pt>
                <c:pt idx="1">
                  <c:v>95.7</c:v>
                </c:pt>
                <c:pt idx="2">
                  <c:v>95.8</c:v>
                </c:pt>
                <c:pt idx="3">
                  <c:v>95.6</c:v>
                </c:pt>
                <c:pt idx="4">
                  <c:v>97.4</c:v>
                </c:pt>
                <c:pt idx="5">
                  <c:v>97.6</c:v>
                </c:pt>
                <c:pt idx="6">
                  <c:v>98.6</c:v>
                </c:pt>
                <c:pt idx="7">
                  <c:v>101.3</c:v>
                </c:pt>
                <c:pt idx="8">
                  <c:v>103.4</c:v>
                </c:pt>
                <c:pt idx="9">
                  <c:v>105</c:v>
                </c:pt>
                <c:pt idx="10">
                  <c:v>105.9</c:v>
                </c:pt>
                <c:pt idx="11">
                  <c:v>106.7</c:v>
                </c:pt>
                <c:pt idx="12">
                  <c:v>107.4</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0322700047109509E-2"/>
                  <c:y val="-6.3083573839864376E-2"/>
                </c:manualLayout>
              </c:layout>
              <c:showLegendKey val="0"/>
              <c:showVal val="1"/>
              <c:showCatName val="0"/>
              <c:showSerName val="0"/>
              <c:showPercent val="0"/>
              <c:showBubbleSize val="0"/>
            </c:dLbl>
            <c:dLbl>
              <c:idx val="1"/>
              <c:layout>
                <c:manualLayout>
                  <c:x val="-4.4380678376741367E-2"/>
                  <c:y val="-6.8522935585802677E-2"/>
                </c:manualLayout>
              </c:layout>
              <c:showLegendKey val="0"/>
              <c:showVal val="1"/>
              <c:showCatName val="0"/>
              <c:showSerName val="0"/>
              <c:showPercent val="0"/>
              <c:showBubbleSize val="0"/>
            </c:dLbl>
            <c:dLbl>
              <c:idx val="2"/>
              <c:layout>
                <c:manualLayout>
                  <c:x val="-4.2735042735042736E-2"/>
                  <c:y val="-7.8848484781028683E-2"/>
                </c:manualLayout>
              </c:layout>
              <c:showLegendKey val="0"/>
              <c:showVal val="1"/>
              <c:showCatName val="0"/>
              <c:showSerName val="0"/>
              <c:showPercent val="0"/>
              <c:showBubbleSize val="0"/>
            </c:dLbl>
            <c:dLbl>
              <c:idx val="3"/>
              <c:layout>
                <c:manualLayout>
                  <c:x val="-5.0174809879534328E-2"/>
                  <c:y val="-9.1354453386996062E-2"/>
                </c:manualLayout>
              </c:layout>
              <c:showLegendKey val="0"/>
              <c:showVal val="1"/>
              <c:showCatName val="0"/>
              <c:showSerName val="0"/>
              <c:showPercent val="0"/>
              <c:showBubbleSize val="0"/>
            </c:dLbl>
            <c:dLbl>
              <c:idx val="4"/>
              <c:layout>
                <c:manualLayout>
                  <c:x val="-3.5856719833097787E-2"/>
                  <c:y val="-7.5590098959208679E-2"/>
                </c:manualLayout>
              </c:layout>
              <c:showLegendKey val="0"/>
              <c:showVal val="1"/>
              <c:showCatName val="0"/>
              <c:showSerName val="0"/>
              <c:showPercent val="0"/>
              <c:showBubbleSize val="0"/>
            </c:dLbl>
            <c:dLbl>
              <c:idx val="5"/>
              <c:layout>
                <c:manualLayout>
                  <c:x val="-3.1263535277459724E-2"/>
                  <c:y val="-5.9825824200295315E-2"/>
                </c:manualLayout>
              </c:layout>
              <c:showLegendKey val="0"/>
              <c:showVal val="1"/>
              <c:showCatName val="0"/>
              <c:showSerName val="0"/>
              <c:showPercent val="0"/>
              <c:showBubbleSize val="0"/>
            </c:dLbl>
            <c:dLbl>
              <c:idx val="6"/>
              <c:layout>
                <c:manualLayout>
                  <c:x val="-3.3400296116831547E-2"/>
                  <c:y val="-0.13213185805347202"/>
                </c:manualLayout>
              </c:layout>
              <c:showLegendKey val="0"/>
              <c:showVal val="1"/>
              <c:showCatName val="0"/>
              <c:showSerName val="0"/>
              <c:showPercent val="0"/>
              <c:showBubbleSize val="0"/>
            </c:dLbl>
            <c:dLbl>
              <c:idx val="7"/>
              <c:layout>
                <c:manualLayout>
                  <c:x val="-3.7182515647082574E-2"/>
                  <c:y val="-0.14626841085379169"/>
                </c:manualLayout>
              </c:layout>
              <c:showLegendKey val="0"/>
              <c:showVal val="1"/>
              <c:showCatName val="0"/>
              <c:showSerName val="0"/>
              <c:showPercent val="0"/>
              <c:showBubbleSize val="0"/>
            </c:dLbl>
            <c:dLbl>
              <c:idx val="8"/>
              <c:layout>
                <c:manualLayout>
                  <c:x val="-4.3616158557103442E-2"/>
                  <c:y val="-0.14300946851859478"/>
                </c:manualLayout>
              </c:layout>
              <c:showLegendKey val="0"/>
              <c:showVal val="1"/>
              <c:showCatName val="0"/>
              <c:showSerName val="0"/>
              <c:showPercent val="0"/>
              <c:showBubbleSize val="0"/>
            </c:dLbl>
            <c:dLbl>
              <c:idx val="9"/>
              <c:layout>
                <c:manualLayout>
                  <c:x val="-3.6691230903829329E-2"/>
                  <c:y val="-0.14952568364885793"/>
                </c:manualLayout>
              </c:layout>
              <c:showLegendKey val="0"/>
              <c:showVal val="1"/>
              <c:showCatName val="0"/>
              <c:showSerName val="0"/>
              <c:showPercent val="0"/>
              <c:showBubbleSize val="0"/>
            </c:dLbl>
            <c:dLbl>
              <c:idx val="10"/>
              <c:layout>
                <c:manualLayout>
                  <c:x val="-3.8679756376606769E-2"/>
                  <c:y val="-0.15496393236804232"/>
                </c:manualLayout>
              </c:layout>
              <c:showLegendKey val="0"/>
              <c:showVal val="1"/>
              <c:showCatName val="0"/>
              <c:showSerName val="0"/>
              <c:showPercent val="0"/>
              <c:showBubbleSize val="0"/>
            </c:dLbl>
            <c:dLbl>
              <c:idx val="11"/>
              <c:layout>
                <c:manualLayout>
                  <c:x val="-2.6327141799582746E-2"/>
                  <c:y val="-0.11962533293412773"/>
                </c:manualLayout>
              </c:layout>
              <c:showLegendKey val="0"/>
              <c:showVal val="1"/>
              <c:showCatName val="0"/>
              <c:showSerName val="0"/>
              <c:showPercent val="0"/>
              <c:showBubbleSize val="0"/>
            </c:dLbl>
            <c:dLbl>
              <c:idx val="12"/>
              <c:layout>
                <c:manualLayout>
                  <c:x val="-1.5643381115822062E-2"/>
                  <c:y val="-0.12832308050188601"/>
                </c:manualLayout>
              </c:layout>
              <c:showLegendKey val="0"/>
              <c:showVal val="1"/>
              <c:showCatName val="0"/>
              <c:showSerName val="0"/>
              <c:showPercent val="0"/>
              <c:showBubbleSize val="0"/>
            </c:dLbl>
            <c:dLbl>
              <c:idx val="13"/>
              <c:layout>
                <c:manualLayout>
                  <c:x val="-1.3163593801035649E-2"/>
                  <c:y val="-2.1754845163743753E-2"/>
                </c:manualLayout>
              </c:layout>
              <c:showLegendKey val="0"/>
              <c:showVal val="1"/>
              <c:showCatName val="0"/>
              <c:showSerName val="0"/>
              <c:showPercent val="0"/>
              <c:showBubbleSize val="0"/>
            </c:dLbl>
            <c:dLbl>
              <c:idx val="14"/>
              <c:layout>
                <c:manualLayout>
                  <c:x val="0"/>
                  <c:y val="1.6316133872807816E-2"/>
                </c:manualLayout>
              </c:layout>
              <c:showLegendKey val="0"/>
              <c:showVal val="1"/>
              <c:showCatName val="0"/>
              <c:showSerName val="0"/>
              <c:showPercent val="0"/>
              <c:showBubbleSize val="0"/>
            </c:dLbl>
            <c:dLbl>
              <c:idx val="15"/>
              <c:layout>
                <c:manualLayout>
                  <c:x val="3.2908984502589122E-3"/>
                  <c:y val="1.6316133872807816E-2"/>
                </c:manualLayout>
              </c:layout>
              <c:showLegendKey val="0"/>
              <c:showVal val="1"/>
              <c:showCatName val="0"/>
              <c:showSerName val="0"/>
              <c:showPercent val="0"/>
              <c:showBubbleSize val="0"/>
            </c:dLbl>
            <c:dLbl>
              <c:idx val="16"/>
              <c:layout>
                <c:manualLayout>
                  <c:x val="-5.5945403217332615E-2"/>
                  <c:y val="2.1754416918760212E-2"/>
                </c:manualLayout>
              </c:layout>
              <c:showLegendKey val="0"/>
              <c:showVal val="1"/>
              <c:showCatName val="0"/>
              <c:showSerName val="0"/>
              <c:showPercent val="0"/>
              <c:showBubbleSize val="0"/>
            </c:dLbl>
            <c:dLbl>
              <c:idx val="17"/>
              <c:layout>
                <c:manualLayout>
                  <c:x val="-6.0881750892720986E-2"/>
                  <c:y val="1.6316133872807816E-2"/>
                </c:manualLayout>
              </c:layout>
              <c:showLegendKey val="0"/>
              <c:showVal val="1"/>
              <c:showCatName val="0"/>
              <c:showSerName val="0"/>
              <c:showPercent val="0"/>
              <c:showBubbleSize val="0"/>
            </c:dLbl>
            <c:dLbl>
              <c:idx val="18"/>
              <c:layout>
                <c:manualLayout>
                  <c:x val="-5.5945273654401502E-2"/>
                  <c:y val="3.8070979036551565E-2"/>
                </c:manualLayout>
              </c:layout>
              <c:showLegendKey val="0"/>
              <c:showVal val="1"/>
              <c:showCatName val="0"/>
              <c:showSerName val="0"/>
              <c:showPercent val="0"/>
              <c:showBubbleSize val="0"/>
            </c:dLbl>
            <c:dLbl>
              <c:idx val="19"/>
              <c:layout>
                <c:manualLayout>
                  <c:x val="-4.1136230628236521E-2"/>
                  <c:y val="5.9825824200295315E-2"/>
                </c:manualLayout>
              </c:layout>
              <c:showLegendKey val="0"/>
              <c:showVal val="1"/>
              <c:showCatName val="0"/>
              <c:showSerName val="0"/>
              <c:showPercent val="0"/>
              <c:showBubbleSize val="0"/>
            </c:dLbl>
            <c:dLbl>
              <c:idx val="20"/>
              <c:layout>
                <c:manualLayout>
                  <c:x val="-2.3036289151812505E-2"/>
                  <c:y val="4.3509690327487402E-2"/>
                </c:manualLayout>
              </c:layout>
              <c:showLegendKey val="0"/>
              <c:showVal val="1"/>
              <c:showCatName val="0"/>
              <c:showSerName val="0"/>
              <c:showPercent val="0"/>
              <c:showBubbleSize val="0"/>
            </c:dLbl>
            <c:dLbl>
              <c:idx val="21"/>
              <c:layout>
                <c:manualLayout>
                  <c:x val="-8.227246125647401E-3"/>
                  <c:y val="2.1754845163743753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numRef>
              <c:f>Лист1!$A$2:$A$14</c:f>
              <c:numCache>
                <c:formatCode>mmm\-yy</c:formatCode>
                <c:ptCount val="13"/>
                <c:pt idx="0">
                  <c:v>44805</c:v>
                </c:pt>
                <c:pt idx="1">
                  <c:v>44835</c:v>
                </c:pt>
                <c:pt idx="2">
                  <c:v>44866</c:v>
                </c:pt>
                <c:pt idx="3">
                  <c:v>44896</c:v>
                </c:pt>
                <c:pt idx="4">
                  <c:v>44927</c:v>
                </c:pt>
                <c:pt idx="5">
                  <c:v>44593</c:v>
                </c:pt>
                <c:pt idx="6">
                  <c:v>44986</c:v>
                </c:pt>
                <c:pt idx="7">
                  <c:v>45017</c:v>
                </c:pt>
                <c:pt idx="8">
                  <c:v>45047</c:v>
                </c:pt>
                <c:pt idx="9">
                  <c:v>45078</c:v>
                </c:pt>
                <c:pt idx="10">
                  <c:v>45108</c:v>
                </c:pt>
                <c:pt idx="11">
                  <c:v>45139</c:v>
                </c:pt>
                <c:pt idx="12">
                  <c:v>45170</c:v>
                </c:pt>
              </c:numCache>
            </c:numRef>
          </c:cat>
          <c:val>
            <c:numRef>
              <c:f>Лист1!$D$2:$D$16</c:f>
              <c:numCache>
                <c:formatCode>0.0</c:formatCode>
                <c:ptCount val="15"/>
                <c:pt idx="0">
                  <c:v>94.2</c:v>
                </c:pt>
                <c:pt idx="1">
                  <c:v>94.4</c:v>
                </c:pt>
                <c:pt idx="2">
                  <c:v>95</c:v>
                </c:pt>
                <c:pt idx="3">
                  <c:v>95.1</c:v>
                </c:pt>
                <c:pt idx="4">
                  <c:v>94.2</c:v>
                </c:pt>
                <c:pt idx="5">
                  <c:v>94.6</c:v>
                </c:pt>
                <c:pt idx="6">
                  <c:v>96.3</c:v>
                </c:pt>
                <c:pt idx="7">
                  <c:v>100.9</c:v>
                </c:pt>
                <c:pt idx="8">
                  <c:v>103.5</c:v>
                </c:pt>
                <c:pt idx="9">
                  <c:v>104.9</c:v>
                </c:pt>
                <c:pt idx="10">
                  <c:v>105.4</c:v>
                </c:pt>
                <c:pt idx="11">
                  <c:v>105.7</c:v>
                </c:pt>
                <c:pt idx="12">
                  <c:v>106.7</c:v>
                </c:pt>
              </c:numCache>
            </c:numRef>
          </c:val>
          <c:smooth val="0"/>
        </c:ser>
        <c:dLbls>
          <c:showLegendKey val="0"/>
          <c:showVal val="0"/>
          <c:showCatName val="0"/>
          <c:showSerName val="0"/>
          <c:showPercent val="0"/>
          <c:showBubbleSize val="0"/>
        </c:dLbls>
        <c:marker val="1"/>
        <c:smooth val="0"/>
        <c:axId val="68742656"/>
        <c:axId val="117119744"/>
      </c:lineChart>
      <c:dateAx>
        <c:axId val="68742656"/>
        <c:scaling>
          <c:orientation val="minMax"/>
          <c:min val="44805"/>
        </c:scaling>
        <c:delete val="0"/>
        <c:axPos val="b"/>
        <c:numFmt formatCode="mmm\-yy"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ru-RU"/>
          </a:p>
        </c:txPr>
        <c:crossAx val="117119744"/>
        <c:crosses val="autoZero"/>
        <c:auto val="1"/>
        <c:lblOffset val="100"/>
        <c:baseTimeUnit val="months"/>
      </c:dateAx>
      <c:valAx>
        <c:axId val="117119744"/>
        <c:scaling>
          <c:orientation val="minMax"/>
          <c:max val="114"/>
          <c:min val="90"/>
        </c:scaling>
        <c:delete val="0"/>
        <c:axPos val="l"/>
        <c:majorGridlines>
          <c:spPr>
            <a:ln>
              <a:noFill/>
            </a:ln>
          </c:spPr>
        </c:majorGridlines>
        <c:numFmt formatCode="0.0" sourceLinked="1"/>
        <c:majorTickMark val="out"/>
        <c:minorTickMark val="none"/>
        <c:tickLblPos val="nextTo"/>
        <c:txPr>
          <a:bodyPr/>
          <a:lstStyle/>
          <a:p>
            <a:pPr>
              <a:defRPr sz="1050"/>
            </a:pPr>
            <a:endParaRPr lang="ru-RU"/>
          </a:p>
        </c:txPr>
        <c:crossAx val="68742656"/>
        <c:crosses val="autoZero"/>
        <c:crossBetween val="between"/>
        <c:majorUnit val="5"/>
      </c:valAx>
    </c:plotArea>
    <c:legend>
      <c:legendPos val="r"/>
      <c:layout>
        <c:manualLayout>
          <c:xMode val="edge"/>
          <c:yMode val="edge"/>
          <c:x val="0.18557609574286008"/>
          <c:y val="0.86982637235387428"/>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1.2638230647709321E-2"/>
          <c:y val="4.819043353829023E-2"/>
          <c:w val="0.97676952760659785"/>
          <c:h val="0.62591329761324888"/>
        </c:manualLayout>
      </c:layout>
      <c:bar3DChart>
        <c:barDir val="col"/>
        <c:grouping val="clustered"/>
        <c:varyColors val="0"/>
        <c:ser>
          <c:idx val="0"/>
          <c:order val="0"/>
          <c:tx>
            <c:strRef>
              <c:f>Лист1!$B$1</c:f>
              <c:strCache>
                <c:ptCount val="1"/>
                <c:pt idx="0">
                  <c:v>Доля непродовольственных товаров, % 
</c:v>
                </c:pt>
              </c:strCache>
            </c:strRef>
          </c:tx>
          <c:spPr>
            <a:solidFill>
              <a:srgbClr val="002060"/>
            </a:solidFill>
          </c:spPr>
          <c:invertIfNegative val="0"/>
          <c:dLbls>
            <c:dLbl>
              <c:idx val="0"/>
              <c:layout>
                <c:manualLayout>
                  <c:x val="2.5020681912984264E-2"/>
                  <c:y val="-3.4336868108124183E-2"/>
                </c:manualLayout>
              </c:layout>
              <c:tx>
                <c:rich>
                  <a:bodyPr/>
                  <a:lstStyle/>
                  <a:p>
                    <a:r>
                      <a:rPr lang="ru-RU" sz="1200" b="1" dirty="0" smtClean="0"/>
                      <a:t>48,9</a:t>
                    </a:r>
                    <a:endParaRPr lang="en-US" dirty="0"/>
                  </a:p>
                </c:rich>
              </c:tx>
              <c:showLegendKey val="0"/>
              <c:showVal val="1"/>
              <c:showCatName val="0"/>
              <c:showSerName val="0"/>
              <c:showPercent val="0"/>
              <c:showBubbleSize val="0"/>
            </c:dLbl>
            <c:dLbl>
              <c:idx val="1"/>
              <c:layout>
                <c:manualLayout>
                  <c:x val="3.4119111699523995E-2"/>
                  <c:y val="-4.0059679459478213E-2"/>
                </c:manualLayout>
              </c:layout>
              <c:tx>
                <c:rich>
                  <a:bodyPr/>
                  <a:lstStyle/>
                  <a:p>
                    <a:r>
                      <a:rPr lang="en-US"/>
                      <a:t>5</a:t>
                    </a:r>
                    <a:r>
                      <a:rPr lang="ru-RU"/>
                      <a:t>4,1</a:t>
                    </a:r>
                    <a:endParaRPr lang="en-US"/>
                  </a:p>
                </c:rich>
              </c:tx>
              <c:showLegendKey val="0"/>
              <c:showVal val="1"/>
              <c:showCatName val="0"/>
              <c:showSerName val="0"/>
              <c:showPercent val="0"/>
              <c:showBubbleSize val="0"/>
            </c:dLbl>
            <c:dLbl>
              <c:idx val="2"/>
              <c:layout>
                <c:manualLayout>
                  <c:x val="3.8668326592793782E-2"/>
                  <c:y val="-4.0059679459478213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9 месяцев 2020 г.</c:v>
                </c:pt>
                <c:pt idx="1">
                  <c:v>9 месяцев 2021 г.</c:v>
                </c:pt>
                <c:pt idx="2">
                  <c:v>9 месяцев 2022 г.</c:v>
                </c:pt>
                <c:pt idx="3">
                  <c:v>9 месяцев 2023 г.</c:v>
                </c:pt>
              </c:strCache>
            </c:strRef>
          </c:cat>
          <c:val>
            <c:numRef>
              <c:f>Лист1!$B$2:$B$5</c:f>
              <c:numCache>
                <c:formatCode>General</c:formatCode>
                <c:ptCount val="4"/>
                <c:pt idx="0">
                  <c:v>48.9</c:v>
                </c:pt>
                <c:pt idx="1">
                  <c:v>54.1</c:v>
                </c:pt>
                <c:pt idx="2">
                  <c:v>50.6</c:v>
                </c:pt>
                <c:pt idx="3">
                  <c:v>51.9</c:v>
                </c:pt>
              </c:numCache>
            </c:numRef>
          </c:val>
        </c:ser>
        <c:dLbls>
          <c:showLegendKey val="0"/>
          <c:showVal val="0"/>
          <c:showCatName val="0"/>
          <c:showSerName val="0"/>
          <c:showPercent val="0"/>
          <c:showBubbleSize val="0"/>
        </c:dLbls>
        <c:gapWidth val="150"/>
        <c:shape val="box"/>
        <c:axId val="103443456"/>
        <c:axId val="63414848"/>
        <c:axId val="0"/>
      </c:bar3DChart>
      <c:catAx>
        <c:axId val="103443456"/>
        <c:scaling>
          <c:orientation val="minMax"/>
        </c:scaling>
        <c:delete val="0"/>
        <c:axPos val="b"/>
        <c:majorTickMark val="out"/>
        <c:minorTickMark val="none"/>
        <c:tickLblPos val="nextTo"/>
        <c:txPr>
          <a:bodyPr/>
          <a:lstStyle/>
          <a:p>
            <a:pPr>
              <a:defRPr sz="900" b="1">
                <a:latin typeface="Arial" pitchFamily="34" charset="0"/>
                <a:cs typeface="Arial" pitchFamily="34" charset="0"/>
              </a:defRPr>
            </a:pPr>
            <a:endParaRPr lang="ru-RU"/>
          </a:p>
        </c:txPr>
        <c:crossAx val="63414848"/>
        <c:crosses val="autoZero"/>
        <c:auto val="1"/>
        <c:lblAlgn val="ctr"/>
        <c:lblOffset val="100"/>
        <c:noMultiLvlLbl val="0"/>
      </c:catAx>
      <c:valAx>
        <c:axId val="63414848"/>
        <c:scaling>
          <c:orientation val="minMax"/>
        </c:scaling>
        <c:delete val="1"/>
        <c:axPos val="l"/>
        <c:majorGridlines>
          <c:spPr>
            <a:ln>
              <a:noFill/>
            </a:ln>
          </c:spPr>
        </c:majorGridlines>
        <c:numFmt formatCode="General" sourceLinked="1"/>
        <c:majorTickMark val="out"/>
        <c:minorTickMark val="none"/>
        <c:tickLblPos val="nextTo"/>
        <c:crossAx val="103443456"/>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7.0301204030028708E-2"/>
          <c:w val="1"/>
          <c:h val="0.70929402042537049"/>
        </c:manualLayout>
      </c:layout>
      <c:bar3DChart>
        <c:barDir val="col"/>
        <c:grouping val="clustered"/>
        <c:varyColors val="0"/>
        <c:ser>
          <c:idx val="0"/>
          <c:order val="0"/>
          <c:tx>
            <c:strRef>
              <c:f>Лист1!$B$1</c:f>
              <c:strCache>
                <c:ptCount val="1"/>
                <c:pt idx="0">
                  <c:v>Доля местной продукции  в общем объеме реализаци, % </c:v>
                </c:pt>
              </c:strCache>
            </c:strRef>
          </c:tx>
          <c:spPr>
            <a:solidFill>
              <a:srgbClr val="002060"/>
            </a:solidFill>
          </c:spPr>
          <c:invertIfNegative val="0"/>
          <c:dLbls>
            <c:dLbl>
              <c:idx val="0"/>
              <c:layout>
                <c:manualLayout>
                  <c:x val="2.302025782688762E-2"/>
                  <c:y val="-4.5782490810832244E-2"/>
                </c:manualLayout>
              </c:layout>
              <c:showLegendKey val="0"/>
              <c:showVal val="1"/>
              <c:showCatName val="0"/>
              <c:showSerName val="0"/>
              <c:showPercent val="0"/>
              <c:showBubbleSize val="0"/>
            </c:dLbl>
            <c:dLbl>
              <c:idx val="1"/>
              <c:layout>
                <c:manualLayout>
                  <c:x val="3.6832412523020261E-2"/>
                  <c:y val="-5.150530216218633E-2"/>
                </c:manualLayout>
              </c:layout>
              <c:showLegendKey val="0"/>
              <c:showVal val="1"/>
              <c:showCatName val="0"/>
              <c:showSerName val="0"/>
              <c:showPercent val="0"/>
              <c:showBubbleSize val="0"/>
            </c:dLbl>
            <c:dLbl>
              <c:idx val="2"/>
              <c:layout>
                <c:manualLayout>
                  <c:x val="2.3020257826887661E-2"/>
                  <c:y val="-4.5782490810832244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9 месяцев 2020 г.</c:v>
                </c:pt>
                <c:pt idx="1">
                  <c:v>9 месяцев 2021 г.</c:v>
                </c:pt>
                <c:pt idx="2">
                  <c:v>9 месяцев 2022 г.</c:v>
                </c:pt>
                <c:pt idx="3">
                  <c:v>9 месяцев 2023 г.</c:v>
                </c:pt>
              </c:strCache>
            </c:strRef>
          </c:cat>
          <c:val>
            <c:numRef>
              <c:f>Лист1!$B$2:$B$5</c:f>
              <c:numCache>
                <c:formatCode>General</c:formatCode>
                <c:ptCount val="4"/>
                <c:pt idx="0">
                  <c:v>97.1</c:v>
                </c:pt>
                <c:pt idx="1">
                  <c:v>96.5</c:v>
                </c:pt>
                <c:pt idx="2">
                  <c:v>96.2</c:v>
                </c:pt>
                <c:pt idx="3">
                  <c:v>96.5</c:v>
                </c:pt>
              </c:numCache>
            </c:numRef>
          </c:val>
        </c:ser>
        <c:dLbls>
          <c:showLegendKey val="0"/>
          <c:showVal val="0"/>
          <c:showCatName val="0"/>
          <c:showSerName val="0"/>
          <c:showPercent val="0"/>
          <c:showBubbleSize val="0"/>
        </c:dLbls>
        <c:gapWidth val="150"/>
        <c:shape val="box"/>
        <c:axId val="70238208"/>
        <c:axId val="63416576"/>
        <c:axId val="0"/>
      </c:bar3DChart>
      <c:catAx>
        <c:axId val="70238208"/>
        <c:scaling>
          <c:orientation val="minMax"/>
        </c:scaling>
        <c:delete val="0"/>
        <c:axPos val="b"/>
        <c:majorTickMark val="out"/>
        <c:minorTickMark val="none"/>
        <c:tickLblPos val="nextTo"/>
        <c:txPr>
          <a:bodyPr/>
          <a:lstStyle/>
          <a:p>
            <a:pPr>
              <a:defRPr sz="900" b="1">
                <a:latin typeface="Arial" pitchFamily="34" charset="0"/>
                <a:cs typeface="Arial" pitchFamily="34" charset="0"/>
              </a:defRPr>
            </a:pPr>
            <a:endParaRPr lang="ru-RU"/>
          </a:p>
        </c:txPr>
        <c:crossAx val="63416576"/>
        <c:crosses val="autoZero"/>
        <c:auto val="1"/>
        <c:lblAlgn val="ctr"/>
        <c:lblOffset val="100"/>
        <c:noMultiLvlLbl val="0"/>
      </c:catAx>
      <c:valAx>
        <c:axId val="63416576"/>
        <c:scaling>
          <c:orientation val="minMax"/>
        </c:scaling>
        <c:delete val="1"/>
        <c:axPos val="l"/>
        <c:majorGridlines>
          <c:spPr>
            <a:ln>
              <a:noFill/>
            </a:ln>
          </c:spPr>
        </c:majorGridlines>
        <c:numFmt formatCode="General" sourceLinked="1"/>
        <c:majorTickMark val="out"/>
        <c:minorTickMark val="none"/>
        <c:tickLblPos val="nextTo"/>
        <c:crossAx val="70238208"/>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19842984228747E-2"/>
          <c:y val="6.4807187563093088E-2"/>
          <c:w val="0.91979766652632777"/>
          <c:h val="0.56201489348715128"/>
        </c:manualLayout>
      </c:layout>
      <c:lineChart>
        <c:grouping val="standard"/>
        <c:varyColors val="0"/>
        <c:ser>
          <c:idx val="0"/>
          <c:order val="0"/>
          <c:tx>
            <c:strRef>
              <c:f>Лист1!$B$1</c:f>
              <c:strCache>
                <c:ptCount val="1"/>
                <c:pt idx="0">
                  <c:v>Чувашия</c:v>
                </c:pt>
              </c:strCache>
            </c:strRef>
          </c:tx>
          <c:spPr>
            <a:ln>
              <a:solidFill>
                <a:srgbClr val="C00000"/>
              </a:solidFill>
            </a:ln>
          </c:spPr>
          <c:marker>
            <c:spPr>
              <a:solidFill>
                <a:srgbClr val="FFC000"/>
              </a:solidFill>
              <a:ln>
                <a:solidFill>
                  <a:schemeClr val="tx1">
                    <a:lumMod val="75000"/>
                    <a:lumOff val="25000"/>
                  </a:schemeClr>
                </a:solidFill>
              </a:ln>
            </c:spPr>
          </c:marker>
          <c:dLbls>
            <c:dLbl>
              <c:idx val="0"/>
              <c:layout>
                <c:manualLayout>
                  <c:x val="-3.9100684261974598E-2"/>
                  <c:y val="-5.6360708534621655E-2"/>
                </c:manualLayout>
              </c:layout>
              <c:showLegendKey val="0"/>
              <c:showVal val="1"/>
              <c:showCatName val="0"/>
              <c:showSerName val="0"/>
              <c:showPercent val="0"/>
              <c:showBubbleSize val="0"/>
            </c:dLbl>
            <c:dLbl>
              <c:idx val="1"/>
              <c:layout>
                <c:manualLayout>
                  <c:x val="-4.5252648108096094E-2"/>
                  <c:y val="-0.15010292030662406"/>
                </c:manualLayout>
              </c:layout>
              <c:showLegendKey val="0"/>
              <c:showVal val="1"/>
              <c:showCatName val="0"/>
              <c:showSerName val="0"/>
              <c:showPercent val="0"/>
              <c:showBubbleSize val="0"/>
            </c:dLbl>
            <c:dLbl>
              <c:idx val="2"/>
              <c:layout>
                <c:manualLayout>
                  <c:x val="-8.4773916534769442E-2"/>
                  <c:y val="-3.2805347006042852E-2"/>
                </c:manualLayout>
              </c:layout>
              <c:showLegendKey val="0"/>
              <c:showVal val="1"/>
              <c:showCatName val="0"/>
              <c:showSerName val="0"/>
              <c:showPercent val="0"/>
              <c:showBubbleSize val="0"/>
            </c:dLbl>
            <c:dLbl>
              <c:idx val="3"/>
              <c:layout>
                <c:manualLayout>
                  <c:x val="-7.5757605918517906E-2"/>
                  <c:y val="-5.7000376856964213E-2"/>
                </c:manualLayout>
              </c:layout>
              <c:showLegendKey val="0"/>
              <c:showVal val="1"/>
              <c:showCatName val="0"/>
              <c:showSerName val="0"/>
              <c:showPercent val="0"/>
              <c:showBubbleSize val="0"/>
            </c:dLbl>
            <c:dLbl>
              <c:idx val="4"/>
              <c:layout>
                <c:manualLayout>
                  <c:x val="-6.0757770144847623E-2"/>
                  <c:y val="-7.374220183095255E-2"/>
                </c:manualLayout>
              </c:layout>
              <c:showLegendKey val="0"/>
              <c:showVal val="1"/>
              <c:showCatName val="0"/>
              <c:showSerName val="0"/>
              <c:showPercent val="0"/>
              <c:showBubbleSize val="0"/>
            </c:dLbl>
            <c:dLbl>
              <c:idx val="5"/>
              <c:layout>
                <c:manualLayout>
                  <c:x val="-8.4269672240740532E-3"/>
                  <c:y val="-7.7319603319994179E-3"/>
                </c:manualLayout>
              </c:layout>
              <c:showLegendKey val="0"/>
              <c:showVal val="1"/>
              <c:showCatName val="0"/>
              <c:showSerName val="0"/>
              <c:showPercent val="0"/>
              <c:showBubbleSize val="0"/>
            </c:dLbl>
            <c:dLbl>
              <c:idx val="6"/>
              <c:layout>
                <c:manualLayout>
                  <c:x val="-3.1769305962854308E-2"/>
                  <c:y val="-9.6618357487922704E-2"/>
                </c:manualLayout>
              </c:layout>
              <c:showLegendKey val="0"/>
              <c:showVal val="1"/>
              <c:showCatName val="0"/>
              <c:showSerName val="0"/>
              <c:showPercent val="0"/>
              <c:showBubbleSize val="0"/>
            </c:dLbl>
            <c:dLbl>
              <c:idx val="7"/>
              <c:layout>
                <c:manualLayout>
                  <c:x val="-4.221860813706628E-2"/>
                  <c:y val="-5.6360511478308201E-2"/>
                </c:manualLayout>
              </c:layout>
              <c:showLegendKey val="0"/>
              <c:showVal val="1"/>
              <c:showCatName val="0"/>
              <c:showSerName val="0"/>
              <c:showPercent val="0"/>
              <c:showBubbleSize val="0"/>
            </c:dLbl>
            <c:dLbl>
              <c:idx val="8"/>
              <c:layout>
                <c:manualLayout>
                  <c:x val="-4.4662428632047758E-2"/>
                  <c:y val="-0.11336027951949824"/>
                </c:manualLayout>
              </c:layout>
              <c:showLegendKey val="0"/>
              <c:showVal val="1"/>
              <c:showCatName val="0"/>
              <c:showSerName val="0"/>
              <c:showPercent val="0"/>
              <c:showBubbleSize val="0"/>
            </c:dLbl>
            <c:dLbl>
              <c:idx val="9"/>
              <c:layout>
                <c:manualLayout>
                  <c:x val="-5.9999177209499384E-2"/>
                  <c:y val="-0.11336027951949824"/>
                </c:manualLayout>
              </c:layout>
              <c:showLegendKey val="0"/>
              <c:showVal val="1"/>
              <c:showCatName val="0"/>
              <c:showSerName val="0"/>
              <c:showPercent val="0"/>
              <c:showBubbleSize val="0"/>
            </c:dLbl>
            <c:dLbl>
              <c:idx val="10"/>
              <c:layout>
                <c:manualLayout>
                  <c:x val="-4.9212825047866095E-2"/>
                  <c:y val="-9.6938082826950808E-2"/>
                </c:manualLayout>
              </c:layout>
              <c:showLegendKey val="0"/>
              <c:showVal val="1"/>
              <c:showCatName val="0"/>
              <c:showSerName val="0"/>
              <c:showPercent val="0"/>
              <c:showBubbleSize val="0"/>
            </c:dLbl>
            <c:dLbl>
              <c:idx val="11"/>
              <c:layout>
                <c:manualLayout>
                  <c:x val="-4.8791642571844117E-2"/>
                  <c:y val="-0.10371115831462747"/>
                </c:manualLayout>
              </c:layout>
              <c:showLegendKey val="0"/>
              <c:showVal val="1"/>
              <c:showCatName val="0"/>
              <c:showSerName val="0"/>
              <c:showPercent val="0"/>
              <c:showBubbleSize val="0"/>
            </c:dLbl>
            <c:dLbl>
              <c:idx val="12"/>
              <c:layout>
                <c:manualLayout>
                  <c:x val="-2.2500292382866448E-2"/>
                  <c:y val="-0.10503999500062493"/>
                </c:manualLayout>
              </c:layout>
              <c:showLegendKey val="0"/>
              <c:showVal val="1"/>
              <c:showCatName val="0"/>
              <c:showSerName val="0"/>
              <c:showPercent val="0"/>
              <c:showBubbleSize val="0"/>
            </c:dLbl>
            <c:dLbl>
              <c:idx val="13"/>
              <c:layout>
                <c:manualLayout>
                  <c:x val="-3.3116325061137271E-2"/>
                  <c:y val="-9.631325154123177E-2"/>
                </c:manualLayout>
              </c:layout>
              <c:showLegendKey val="0"/>
              <c:showVal val="1"/>
              <c:showCatName val="0"/>
              <c:showSerName val="0"/>
              <c:showPercent val="0"/>
              <c:showBubbleSize val="0"/>
            </c:dLbl>
            <c:dLbl>
              <c:idx val="14"/>
              <c:layout>
                <c:manualLayout>
                  <c:x val="-1.9128416470064982E-2"/>
                  <c:y val="-8.0197155588109664E-2"/>
                </c:manualLayout>
              </c:layout>
              <c:showLegendKey val="0"/>
              <c:showVal val="1"/>
              <c:showCatName val="0"/>
              <c:showSerName val="0"/>
              <c:showPercent val="0"/>
              <c:showBubbleSize val="0"/>
            </c:dLbl>
            <c:dLbl>
              <c:idx val="15"/>
              <c:layout>
                <c:manualLayout>
                  <c:x val="-2.7555239223415656E-2"/>
                  <c:y val="-7.9916376731978336E-2"/>
                </c:manualLayout>
              </c:layout>
              <c:showLegendKey val="0"/>
              <c:showVal val="1"/>
              <c:showCatName val="0"/>
              <c:showSerName val="0"/>
              <c:showPercent val="0"/>
              <c:showBubbleSize val="0"/>
            </c:dLbl>
            <c:dLbl>
              <c:idx val="16"/>
              <c:layout>
                <c:manualLayout>
                  <c:x val="-1.7780569072433101E-2"/>
                  <c:y val="-7.2144060423747949E-2"/>
                </c:manualLayout>
              </c:layout>
              <c:showLegendKey val="0"/>
              <c:showVal val="1"/>
              <c:showCatName val="0"/>
              <c:showSerName val="0"/>
              <c:showPercent val="0"/>
              <c:showBubbleSize val="0"/>
            </c:dLbl>
            <c:dLbl>
              <c:idx val="17"/>
              <c:layout>
                <c:manualLayout>
                  <c:x val="0"/>
                  <c:y val="-6.4113410242324365E-2"/>
                </c:manualLayout>
              </c:layout>
              <c:showLegendKey val="0"/>
              <c:showVal val="1"/>
              <c:showCatName val="0"/>
              <c:showSerName val="0"/>
              <c:showPercent val="0"/>
              <c:showBubbleSize val="0"/>
            </c:dLbl>
            <c:txPr>
              <a:bodyPr/>
              <a:lstStyle/>
              <a:p>
                <a:pPr>
                  <a:defRPr sz="1000" b="1" baseline="0">
                    <a:latin typeface="Arial" pitchFamily="34" charset="0"/>
                  </a:defRPr>
                </a:pPr>
                <a:endParaRPr lang="ru-RU"/>
              </a:p>
            </c:txPr>
            <c:showLegendKey val="0"/>
            <c:showVal val="1"/>
            <c:showCatName val="0"/>
            <c:showSerName val="0"/>
            <c:showPercent val="0"/>
            <c:showBubbleSize val="0"/>
            <c:showLeaderLines val="0"/>
          </c:dLbls>
          <c:cat>
            <c:numRef>
              <c:f>Лист1!$A$2:$A$6</c:f>
              <c:numCache>
                <c:formatCode>mmm\-yy</c:formatCode>
                <c:ptCount val="5"/>
                <c:pt idx="0">
                  <c:v>44805</c:v>
                </c:pt>
                <c:pt idx="1">
                  <c:v>44896</c:v>
                </c:pt>
                <c:pt idx="2">
                  <c:v>44986</c:v>
                </c:pt>
                <c:pt idx="3">
                  <c:v>45078</c:v>
                </c:pt>
                <c:pt idx="4">
                  <c:v>45170</c:v>
                </c:pt>
              </c:numCache>
            </c:numRef>
          </c:cat>
          <c:val>
            <c:numRef>
              <c:f>Лист1!$B$2:$B$6</c:f>
              <c:numCache>
                <c:formatCode>0.0</c:formatCode>
                <c:ptCount val="5"/>
                <c:pt idx="0">
                  <c:v>103.7</c:v>
                </c:pt>
                <c:pt idx="1">
                  <c:v>101.5</c:v>
                </c:pt>
                <c:pt idx="2">
                  <c:v>97.4</c:v>
                </c:pt>
                <c:pt idx="3">
                  <c:v>115.9</c:v>
                </c:pt>
                <c:pt idx="4">
                  <c:v>117</c:v>
                </c:pt>
              </c:numCache>
            </c:numRef>
          </c:val>
          <c:smooth val="0"/>
        </c:ser>
        <c:dLbls>
          <c:showLegendKey val="0"/>
          <c:showVal val="0"/>
          <c:showCatName val="0"/>
          <c:showSerName val="0"/>
          <c:showPercent val="0"/>
          <c:showBubbleSize val="0"/>
        </c:dLbls>
        <c:marker val="1"/>
        <c:smooth val="0"/>
        <c:axId val="83764224"/>
        <c:axId val="63418304"/>
      </c:lineChart>
      <c:dateAx>
        <c:axId val="83764224"/>
        <c:scaling>
          <c:orientation val="minMax"/>
          <c:min val="44805"/>
        </c:scaling>
        <c:delete val="0"/>
        <c:axPos val="b"/>
        <c:numFmt formatCode="mmm\-yy" sourceLinked="1"/>
        <c:majorTickMark val="out"/>
        <c:minorTickMark val="none"/>
        <c:tickLblPos val="nextTo"/>
        <c:txPr>
          <a:bodyPr rot="0" vert="horz"/>
          <a:lstStyle/>
          <a:p>
            <a:pPr>
              <a:defRPr sz="700">
                <a:latin typeface="Arial" panose="020B0604020202020204" pitchFamily="34" charset="0"/>
                <a:cs typeface="Arial" panose="020B0604020202020204" pitchFamily="34" charset="0"/>
              </a:defRPr>
            </a:pPr>
            <a:endParaRPr lang="ru-RU"/>
          </a:p>
        </c:txPr>
        <c:crossAx val="63418304"/>
        <c:crosses val="autoZero"/>
        <c:auto val="1"/>
        <c:lblOffset val="100"/>
        <c:baseTimeUnit val="months"/>
        <c:majorUnit val="1"/>
        <c:majorTimeUnit val="months"/>
        <c:minorUnit val="1"/>
        <c:minorTimeUnit val="months"/>
      </c:dateAx>
      <c:valAx>
        <c:axId val="63418304"/>
        <c:scaling>
          <c:orientation val="minMax"/>
          <c:max val="150"/>
          <c:min val="8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83764224"/>
        <c:crosses val="autoZero"/>
        <c:crossBetween val="between"/>
        <c:majorUnit val="20"/>
        <c:minorUnit val="1"/>
      </c:valAx>
    </c:plotArea>
    <c:legend>
      <c:legendPos val="r"/>
      <c:layout>
        <c:manualLayout>
          <c:xMode val="edge"/>
          <c:yMode val="edge"/>
          <c:x val="0.18557604236420594"/>
          <c:y val="0.86201007170754373"/>
          <c:w val="0.61361693736156142"/>
          <c:h val="0.13017377466985347"/>
        </c:manualLayout>
      </c:layout>
      <c:overlay val="0"/>
      <c:txPr>
        <a:bodyPr/>
        <a:lstStyle/>
        <a:p>
          <a:pPr>
            <a:defRPr sz="10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5084165136018E-2"/>
          <c:y val="7.5537316942700841E-2"/>
          <c:w val="0.92324157626299019"/>
          <c:h val="0.63355915114269257"/>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3.3242068944008642E-2"/>
                  <c:y val="-0.18597665446069325"/>
                </c:manualLayout>
              </c:layout>
              <c:tx>
                <c:rich>
                  <a:bodyPr/>
                  <a:lstStyle/>
                  <a:p>
                    <a:pPr>
                      <a:defRPr sz="800" b="1">
                        <a:solidFill>
                          <a:schemeClr val="tx1">
                            <a:lumMod val="75000"/>
                            <a:lumOff val="25000"/>
                          </a:schemeClr>
                        </a:solidFill>
                      </a:defRPr>
                    </a:pPr>
                    <a:r>
                      <a:rPr lang="ru-RU" sz="800" b="1" dirty="0" smtClean="0">
                        <a:solidFill>
                          <a:schemeClr val="tx1">
                            <a:lumMod val="75000"/>
                            <a:lumOff val="25000"/>
                          </a:schemeClr>
                        </a:solidFill>
                      </a:rPr>
                      <a:t>РФ 106,6</a:t>
                    </a:r>
                    <a:endParaRPr lang="en-US" sz="900" b="1" dirty="0">
                      <a:solidFill>
                        <a:schemeClr val="tx1">
                          <a:lumMod val="65000"/>
                          <a:lumOff val="35000"/>
                        </a:schemeClr>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7077704659411216E-2"/>
                  <c:y val="0.11389870066369652"/>
                </c:manualLayout>
              </c:layout>
              <c:spPr/>
              <c:txPr>
                <a:bodyPr/>
                <a:lstStyle/>
                <a:p>
                  <a:pPr>
                    <a:defRPr sz="800" b="1">
                      <a:solidFill>
                        <a:schemeClr val="tx1">
                          <a:lumMod val="75000"/>
                          <a:lumOff val="25000"/>
                        </a:schemeClr>
                      </a:solidFill>
                    </a:defRPr>
                  </a:pPr>
                  <a:endParaRPr lang="ru-RU"/>
                </a:p>
              </c:txPr>
              <c:showLegendKey val="0"/>
              <c:showVal val="1"/>
              <c:showCatName val="0"/>
              <c:showSerName val="0"/>
              <c:showPercent val="0"/>
              <c:showBubbleSize val="0"/>
            </c:dLbl>
            <c:txPr>
              <a:bodyPr/>
              <a:lstStyle/>
              <a:p>
                <a:pPr>
                  <a:defRPr sz="800">
                    <a:solidFill>
                      <a:schemeClr val="tx1">
                        <a:lumMod val="75000"/>
                        <a:lumOff val="25000"/>
                      </a:schemeClr>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numCache>
            </c:numRef>
          </c:cat>
          <c:val>
            <c:numRef>
              <c:f>Лист1!$B$2:$B$14</c:f>
              <c:numCache>
                <c:formatCode>[=-999]"...";#,##0.0</c:formatCode>
                <c:ptCount val="13"/>
                <c:pt idx="0">
                  <c:v>106.6</c:v>
                </c:pt>
                <c:pt idx="1">
                  <c:v>106.2</c:v>
                </c:pt>
                <c:pt idx="2">
                  <c:v>106</c:v>
                </c:pt>
                <c:pt idx="3">
                  <c:v>105</c:v>
                </c:pt>
                <c:pt idx="4">
                  <c:v>101.4</c:v>
                </c:pt>
                <c:pt idx="5">
                  <c:v>102</c:v>
                </c:pt>
                <c:pt idx="6">
                  <c:v>102.8</c:v>
                </c:pt>
                <c:pt idx="7">
                  <c:v>103.1</c:v>
                </c:pt>
                <c:pt idx="8">
                  <c:v>103.6</c:v>
                </c:pt>
                <c:pt idx="9" formatCode="0.0">
                  <c:v>103.9</c:v>
                </c:pt>
                <c:pt idx="10" formatCode="0.0">
                  <c:v>104.1</c:v>
                </c:pt>
                <c:pt idx="11" formatCode="0.0">
                  <c:v>104.2</c:v>
                </c:pt>
                <c:pt idx="12" formatCode="0.0">
                  <c:v>104.2</c:v>
                </c:pt>
              </c:numCache>
            </c:numRef>
          </c:val>
          <c:smooth val="0"/>
        </c:ser>
        <c:ser>
          <c:idx val="1"/>
          <c:order val="1"/>
          <c:tx>
            <c:strRef>
              <c:f>Лист1!$C$1</c:f>
              <c:strCache>
                <c:ptCount val="1"/>
                <c:pt idx="0">
                  <c:v>ПФО</c:v>
                </c:pt>
              </c:strCache>
            </c:strRef>
          </c:tx>
          <c:spPr>
            <a:ln>
              <a:solidFill>
                <a:srgbClr val="002060"/>
              </a:solidFill>
            </a:ln>
          </c:spPr>
          <c:marker>
            <c:spPr>
              <a:solidFill>
                <a:srgbClr val="002060"/>
              </a:solidFill>
              <a:ln>
                <a:solidFill>
                  <a:srgbClr val="002060"/>
                </a:solidFill>
              </a:ln>
            </c:spPr>
          </c:marker>
          <c:dLbls>
            <c:dLbl>
              <c:idx val="0"/>
              <c:layout>
                <c:manualLayout>
                  <c:x val="-4.336995399027279E-2"/>
                  <c:y val="-0.15859409926893372"/>
                </c:manualLayout>
              </c:layout>
              <c:tx>
                <c:rich>
                  <a:bodyPr/>
                  <a:lstStyle/>
                  <a:p>
                    <a:pPr>
                      <a:defRPr sz="1000" b="1">
                        <a:solidFill>
                          <a:srgbClr val="002060"/>
                        </a:solidFill>
                      </a:defRPr>
                    </a:pPr>
                    <a:r>
                      <a:rPr lang="ru-RU" sz="800" b="1" dirty="0" smtClean="0">
                        <a:solidFill>
                          <a:srgbClr val="002060"/>
                        </a:solidFill>
                      </a:rPr>
                      <a:t>ПФО 104,7</a:t>
                    </a:r>
                    <a:endParaRPr lang="en-US" sz="1000" b="1" dirty="0">
                      <a:solidFill>
                        <a:srgbClr val="002060"/>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4997807368345569E-2"/>
                  <c:y val="0.177969244042435"/>
                </c:manualLayout>
              </c:layout>
              <c:tx>
                <c:rich>
                  <a:bodyPr/>
                  <a:lstStyle/>
                  <a:p>
                    <a:pPr>
                      <a:defRPr sz="700" b="1">
                        <a:solidFill>
                          <a:srgbClr val="0000CC"/>
                        </a:solidFill>
                      </a:defRPr>
                    </a:pPr>
                    <a:r>
                      <a:rPr lang="ru-RU" sz="700" b="1" dirty="0" smtClean="0"/>
                      <a:t>1</a:t>
                    </a:r>
                    <a:r>
                      <a:rPr lang="en-US" sz="700" b="1" dirty="0" smtClean="0"/>
                      <a:t>04,8</a:t>
                    </a:r>
                    <a:endParaRPr lang="en-US" sz="900" b="1" dirty="0"/>
                  </a:p>
                </c:rich>
              </c:tx>
              <c:spPr/>
              <c:showLegendKey val="0"/>
              <c:showVal val="1"/>
              <c:showCatName val="0"/>
              <c:showSerName val="0"/>
              <c:showPercent val="0"/>
              <c:showBubbleSize val="0"/>
            </c:dLbl>
            <c:txPr>
              <a:bodyPr/>
              <a:lstStyle/>
              <a:p>
                <a:pPr>
                  <a:defRPr sz="700">
                    <a:solidFill>
                      <a:srgbClr val="0000CC"/>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numCache>
            </c:numRef>
          </c:cat>
          <c:val>
            <c:numRef>
              <c:f>Лист1!$C$2:$C$14</c:f>
              <c:numCache>
                <c:formatCode>[=-999]"...";#,##0.0</c:formatCode>
                <c:ptCount val="13"/>
                <c:pt idx="0">
                  <c:v>104.7</c:v>
                </c:pt>
                <c:pt idx="1">
                  <c:v>104.2</c:v>
                </c:pt>
                <c:pt idx="2">
                  <c:v>104</c:v>
                </c:pt>
                <c:pt idx="3">
                  <c:v>103.7</c:v>
                </c:pt>
                <c:pt idx="4">
                  <c:v>103.2</c:v>
                </c:pt>
                <c:pt idx="5">
                  <c:v>103.7</c:v>
                </c:pt>
                <c:pt idx="6">
                  <c:v>103.8</c:v>
                </c:pt>
                <c:pt idx="7">
                  <c:v>103.5</c:v>
                </c:pt>
                <c:pt idx="8">
                  <c:v>103.6</c:v>
                </c:pt>
                <c:pt idx="9" formatCode="0.0">
                  <c:v>103.8</c:v>
                </c:pt>
                <c:pt idx="10" formatCode="0.0">
                  <c:v>104</c:v>
                </c:pt>
                <c:pt idx="11" formatCode="0.0">
                  <c:v>104</c:v>
                </c:pt>
                <c:pt idx="12" formatCode="0.0">
                  <c:v>103.9</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3.317509795328117E-2"/>
                  <c:y val="-0.17235282412803096"/>
                </c:manualLayout>
              </c:layout>
              <c:tx>
                <c:rich>
                  <a:bodyPr/>
                  <a:lstStyle/>
                  <a:p>
                    <a:pPr>
                      <a:defRPr sz="800" b="1">
                        <a:solidFill>
                          <a:srgbClr val="C00000"/>
                        </a:solidFill>
                      </a:defRPr>
                    </a:pPr>
                    <a:r>
                      <a:rPr lang="ru-RU" sz="800" b="1" dirty="0" smtClean="0"/>
                      <a:t> ЧР 100,8</a:t>
                    </a:r>
                    <a:endParaRPr lang="en-US" sz="900" b="1" dirty="0"/>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5324288842676611E-2"/>
                  <c:y val="0.18380918949273853"/>
                </c:manualLayout>
              </c:layout>
              <c:spPr/>
              <c:txPr>
                <a:bodyPr/>
                <a:lstStyle/>
                <a:p>
                  <a:pPr>
                    <a:defRPr sz="800" b="1">
                      <a:solidFill>
                        <a:srgbClr val="C00000"/>
                      </a:solidFill>
                    </a:defRPr>
                  </a:pPr>
                  <a:endParaRPr lang="ru-RU"/>
                </a:p>
              </c:txPr>
              <c:showLegendKey val="0"/>
              <c:showVal val="1"/>
              <c:showCatName val="0"/>
              <c:showSerName val="0"/>
              <c:showPercent val="0"/>
              <c:showBubbleSize val="0"/>
            </c:dLbl>
            <c:txPr>
              <a:bodyPr/>
              <a:lstStyle/>
              <a:p>
                <a:pPr>
                  <a:defRPr sz="800" b="0">
                    <a:solidFill>
                      <a:srgbClr val="C00000"/>
                    </a:solidFill>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numCache>
            </c:numRef>
          </c:cat>
          <c:val>
            <c:numRef>
              <c:f>Лист1!$D$2:$D$14</c:f>
              <c:numCache>
                <c:formatCode>0.0</c:formatCode>
                <c:ptCount val="13"/>
                <c:pt idx="0">
                  <c:v>100.8</c:v>
                </c:pt>
                <c:pt idx="1">
                  <c:v>100.3</c:v>
                </c:pt>
                <c:pt idx="2">
                  <c:v>100.5</c:v>
                </c:pt>
                <c:pt idx="3">
                  <c:v>100.1</c:v>
                </c:pt>
                <c:pt idx="4">
                  <c:v>99.9</c:v>
                </c:pt>
                <c:pt idx="5">
                  <c:v>103.7</c:v>
                </c:pt>
                <c:pt idx="6">
                  <c:v>103.8</c:v>
                </c:pt>
                <c:pt idx="7">
                  <c:v>103.2</c:v>
                </c:pt>
                <c:pt idx="8">
                  <c:v>102.8</c:v>
                </c:pt>
                <c:pt idx="9">
                  <c:v>102.4</c:v>
                </c:pt>
                <c:pt idx="10">
                  <c:v>102.1</c:v>
                </c:pt>
                <c:pt idx="11">
                  <c:v>102.3</c:v>
                </c:pt>
                <c:pt idx="12">
                  <c:v>102.1</c:v>
                </c:pt>
              </c:numCache>
            </c:numRef>
          </c:val>
          <c:smooth val="0"/>
        </c:ser>
        <c:dLbls>
          <c:showLegendKey val="0"/>
          <c:showVal val="0"/>
          <c:showCatName val="0"/>
          <c:showSerName val="0"/>
          <c:showPercent val="0"/>
          <c:showBubbleSize val="0"/>
        </c:dLbls>
        <c:marker val="1"/>
        <c:smooth val="0"/>
        <c:axId val="103443968"/>
        <c:axId val="63420608"/>
      </c:lineChart>
      <c:dateAx>
        <c:axId val="103443968"/>
        <c:scaling>
          <c:orientation val="minMax"/>
          <c:min val="44805"/>
        </c:scaling>
        <c:delete val="0"/>
        <c:axPos val="b"/>
        <c:numFmt formatCode="mmm\-yy" sourceLinked="1"/>
        <c:majorTickMark val="out"/>
        <c:minorTickMark val="none"/>
        <c:tickLblPos val="nextTo"/>
        <c:txPr>
          <a:bodyPr rot="0" vert="horz"/>
          <a:lstStyle/>
          <a:p>
            <a:pPr>
              <a:defRPr sz="700" baseline="0">
                <a:latin typeface="Arial" panose="020B0604020202020204" pitchFamily="34" charset="0"/>
                <a:cs typeface="Arial" panose="020B0604020202020204" pitchFamily="34" charset="0"/>
              </a:defRPr>
            </a:pPr>
            <a:endParaRPr lang="ru-RU"/>
          </a:p>
        </c:txPr>
        <c:crossAx val="63420608"/>
        <c:crosses val="autoZero"/>
        <c:auto val="1"/>
        <c:lblOffset val="100"/>
        <c:baseTimeUnit val="months"/>
        <c:majorUnit val="1"/>
        <c:majorTimeUnit val="months"/>
        <c:minorUnit val="1"/>
        <c:minorTimeUnit val="months"/>
      </c:dateAx>
      <c:valAx>
        <c:axId val="63420608"/>
        <c:scaling>
          <c:orientation val="minMax"/>
          <c:max val="120"/>
          <c:min val="90"/>
        </c:scaling>
        <c:delete val="0"/>
        <c:axPos val="l"/>
        <c:majorGridlines>
          <c:spPr>
            <a:ln>
              <a:noFill/>
            </a:ln>
          </c:spPr>
        </c:majorGridlines>
        <c:numFmt formatCode="[=-999]&quot;...&quot;;#,##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103443968"/>
        <c:crossesAt val="43556"/>
        <c:crossBetween val="between"/>
        <c:majorUnit val="10"/>
      </c:valAx>
    </c:plotArea>
    <c:legend>
      <c:legendPos val="r"/>
      <c:legendEntry>
        <c:idx val="0"/>
        <c:txPr>
          <a:bodyPr/>
          <a:lstStyle/>
          <a:p>
            <a:pPr>
              <a:defRPr sz="800" b="1">
                <a:solidFill>
                  <a:schemeClr val="tx1">
                    <a:lumMod val="65000"/>
                    <a:lumOff val="3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15655383508875351"/>
          <c:y val="0.88639751883129791"/>
          <c:w val="0.39544927841567473"/>
          <c:h val="0.11360248116870211"/>
        </c:manualLayout>
      </c:layout>
      <c:overlay val="0"/>
      <c:txPr>
        <a:bodyPr/>
        <a:lstStyle/>
        <a:p>
          <a:pPr>
            <a:defRPr sz="8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0.92305</cdr:x>
      <cdr:y>0.79823</cdr:y>
    </cdr:from>
    <cdr:to>
      <cdr:x>0.95989</cdr:x>
      <cdr:y>0.8392</cdr:y>
    </cdr:to>
    <cdr:sp macro="" textlink="">
      <cdr:nvSpPr>
        <cdr:cNvPr id="2" name="TextBox 10"/>
        <cdr:cNvSpPr txBox="1"/>
      </cdr:nvSpPr>
      <cdr:spPr>
        <a:xfrm xmlns:a="http://schemas.openxmlformats.org/drawingml/2006/main" rot="2637364">
          <a:off x="7712606" y="1800340"/>
          <a:ext cx="307777" cy="92398"/>
        </a:xfrm>
        <a:prstGeom xmlns:a="http://schemas.openxmlformats.org/drawingml/2006/main" prst="rect">
          <a:avLst/>
        </a:prstGeom>
        <a:noFill xmlns:a="http://schemas.openxmlformats.org/drawingml/2006/main"/>
      </cdr:spPr>
      <cdr:txBody>
        <a:bodyPr xmlns:a="http://schemas.openxmlformats.org/drawingml/2006/main" vert="vert270" wrap="none" rtlCol="0">
          <a:spAutoFit/>
        </a:bodyPr>
        <a:lstStyle xmlns:a="http://schemas.openxmlformats.org/drawingml/2006/main">
          <a:defPPr>
            <a:defRPr lang="ru-RU"/>
          </a:defPPr>
          <a:lvl1pPr marL="0" algn="l" defTabSz="914265" rtl="0" eaLnBrk="1" latinLnBrk="0" hangingPunct="1">
            <a:defRPr sz="1800" kern="1200">
              <a:solidFill>
                <a:schemeClr val="tx1"/>
              </a:solidFill>
              <a:latin typeface="+mn-lt"/>
              <a:ea typeface="+mn-ea"/>
              <a:cs typeface="+mn-cs"/>
            </a:defRPr>
          </a:lvl1pPr>
          <a:lvl2pPr marL="457130" algn="l" defTabSz="914265" rtl="0" eaLnBrk="1" latinLnBrk="0" hangingPunct="1">
            <a:defRPr sz="1800" kern="1200">
              <a:solidFill>
                <a:schemeClr val="tx1"/>
              </a:solidFill>
              <a:latin typeface="+mn-lt"/>
              <a:ea typeface="+mn-ea"/>
              <a:cs typeface="+mn-cs"/>
            </a:defRPr>
          </a:lvl2pPr>
          <a:lvl3pPr marL="914265" algn="l" defTabSz="914265" rtl="0" eaLnBrk="1" latinLnBrk="0" hangingPunct="1">
            <a:defRPr sz="1800" kern="1200">
              <a:solidFill>
                <a:schemeClr val="tx1"/>
              </a:solidFill>
              <a:latin typeface="+mn-lt"/>
              <a:ea typeface="+mn-ea"/>
              <a:cs typeface="+mn-cs"/>
            </a:defRPr>
          </a:lvl3pPr>
          <a:lvl4pPr marL="1371396" algn="l" defTabSz="914265" rtl="0" eaLnBrk="1" latinLnBrk="0" hangingPunct="1">
            <a:defRPr sz="1800" kern="1200">
              <a:solidFill>
                <a:schemeClr val="tx1"/>
              </a:solidFill>
              <a:latin typeface="+mn-lt"/>
              <a:ea typeface="+mn-ea"/>
              <a:cs typeface="+mn-cs"/>
            </a:defRPr>
          </a:lvl4pPr>
          <a:lvl5pPr marL="1828529" algn="l" defTabSz="914265" rtl="0" eaLnBrk="1" latinLnBrk="0" hangingPunct="1">
            <a:defRPr sz="1800" kern="1200">
              <a:solidFill>
                <a:schemeClr val="tx1"/>
              </a:solidFill>
              <a:latin typeface="+mn-lt"/>
              <a:ea typeface="+mn-ea"/>
              <a:cs typeface="+mn-cs"/>
            </a:defRPr>
          </a:lvl5pPr>
          <a:lvl6pPr marL="2285658" algn="l" defTabSz="914265" rtl="0" eaLnBrk="1" latinLnBrk="0" hangingPunct="1">
            <a:defRPr sz="1800" kern="1200">
              <a:solidFill>
                <a:schemeClr val="tx1"/>
              </a:solidFill>
              <a:latin typeface="+mn-lt"/>
              <a:ea typeface="+mn-ea"/>
              <a:cs typeface="+mn-cs"/>
            </a:defRPr>
          </a:lvl6pPr>
          <a:lvl7pPr marL="2742788" algn="l" defTabSz="914265" rtl="0" eaLnBrk="1" latinLnBrk="0" hangingPunct="1">
            <a:defRPr sz="1800" kern="1200">
              <a:solidFill>
                <a:schemeClr val="tx1"/>
              </a:solidFill>
              <a:latin typeface="+mn-lt"/>
              <a:ea typeface="+mn-ea"/>
              <a:cs typeface="+mn-cs"/>
            </a:defRPr>
          </a:lvl7pPr>
          <a:lvl8pPr marL="3199920" algn="l" defTabSz="914265" rtl="0" eaLnBrk="1" latinLnBrk="0" hangingPunct="1">
            <a:defRPr sz="1800" kern="1200">
              <a:solidFill>
                <a:schemeClr val="tx1"/>
              </a:solidFill>
              <a:latin typeface="+mn-lt"/>
              <a:ea typeface="+mn-ea"/>
              <a:cs typeface="+mn-cs"/>
            </a:defRPr>
          </a:lvl8pPr>
          <a:lvl9pPr marL="3657052" algn="l" defTabSz="914265" rtl="0" eaLnBrk="1" latinLnBrk="0" hangingPunct="1">
            <a:defRPr sz="1800" kern="1200">
              <a:solidFill>
                <a:schemeClr val="tx1"/>
              </a:solidFill>
              <a:latin typeface="+mn-lt"/>
              <a:ea typeface="+mn-ea"/>
              <a:cs typeface="+mn-cs"/>
            </a:defRPr>
          </a:lvl9pPr>
        </a:lstStyle>
        <a:p xmlns:a="http://schemas.openxmlformats.org/drawingml/2006/main">
          <a:endParaRPr lang="ru-RU" sz="800" dirty="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0.08983</cdr:x>
      <cdr:y>0</cdr:y>
    </cdr:from>
    <cdr:to>
      <cdr:x>0.28562</cdr:x>
      <cdr:y>0.125</cdr:y>
    </cdr:to>
    <cdr:sp macro="" textlink="">
      <cdr:nvSpPr>
        <cdr:cNvPr id="2" name="Поле 1"/>
        <cdr:cNvSpPr txBox="1"/>
      </cdr:nvSpPr>
      <cdr:spPr>
        <a:xfrm xmlns:a="http://schemas.openxmlformats.org/drawingml/2006/main">
          <a:off x="547243" y="0"/>
          <a:ext cx="1192790" cy="2418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t>Январь-сентябрь </a:t>
          </a:r>
          <a:r>
            <a:rPr lang="ru-RU" sz="800" b="1" baseline="0"/>
            <a:t>2022</a:t>
          </a:r>
          <a:endParaRPr lang="ru-RU" sz="800" b="1"/>
        </a:p>
      </cdr:txBody>
    </cdr:sp>
  </cdr:relSizeAnchor>
  <cdr:relSizeAnchor xmlns:cdr="http://schemas.openxmlformats.org/drawingml/2006/chartDrawing">
    <cdr:from>
      <cdr:x>0.67684</cdr:x>
      <cdr:y>0</cdr:y>
    </cdr:from>
    <cdr:to>
      <cdr:x>1</cdr:x>
      <cdr:y>0.09756</cdr:y>
    </cdr:to>
    <cdr:sp macro="" textlink="">
      <cdr:nvSpPr>
        <cdr:cNvPr id="3" name="Поле 2"/>
        <cdr:cNvSpPr txBox="1"/>
      </cdr:nvSpPr>
      <cdr:spPr>
        <a:xfrm xmlns:a="http://schemas.openxmlformats.org/drawingml/2006/main">
          <a:off x="3378200" y="0"/>
          <a:ext cx="161290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t>Январь-сентябрь 2022</a:t>
          </a:r>
        </a:p>
      </cdr:txBody>
    </cdr:sp>
  </cdr:relSizeAnchor>
  <cdr:relSizeAnchor xmlns:cdr="http://schemas.openxmlformats.org/drawingml/2006/chartDrawing">
    <cdr:from>
      <cdr:x>0.75557</cdr:x>
      <cdr:y>0.05909</cdr:y>
    </cdr:from>
    <cdr:to>
      <cdr:x>0.92733</cdr:x>
      <cdr:y>0.16885</cdr:y>
    </cdr:to>
    <cdr:sp macro="" textlink="">
      <cdr:nvSpPr>
        <cdr:cNvPr id="4" name="Поле 3"/>
        <cdr:cNvSpPr txBox="1"/>
      </cdr:nvSpPr>
      <cdr:spPr>
        <a:xfrm xmlns:a="http://schemas.openxmlformats.org/drawingml/2006/main">
          <a:off x="4603102" y="114335"/>
          <a:ext cx="1046395" cy="212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lumMod val="75000"/>
                  <a:lumOff val="25000"/>
                </a:schemeClr>
              </a:solidFill>
            </a:rPr>
            <a:t>РФ 104,2</a:t>
          </a:r>
        </a:p>
      </cdr:txBody>
    </cdr:sp>
  </cdr:relSizeAnchor>
  <cdr:relSizeAnchor xmlns:cdr="http://schemas.openxmlformats.org/drawingml/2006/chartDrawing">
    <cdr:from>
      <cdr:x>0.57888</cdr:x>
      <cdr:y>0.42378</cdr:y>
    </cdr:from>
    <cdr:to>
      <cdr:x>0.70102</cdr:x>
      <cdr:y>0.53659</cdr:y>
    </cdr:to>
    <cdr:sp macro="" textlink="">
      <cdr:nvSpPr>
        <cdr:cNvPr id="5" name="Поле 4"/>
        <cdr:cNvSpPr txBox="1"/>
      </cdr:nvSpPr>
      <cdr:spPr>
        <a:xfrm xmlns:a="http://schemas.openxmlformats.org/drawingml/2006/main">
          <a:off x="2889250" y="882650"/>
          <a:ext cx="6096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0.7543</cdr:x>
      <cdr:y>0.1323</cdr:y>
    </cdr:from>
    <cdr:to>
      <cdr:x>0.93624</cdr:x>
      <cdr:y>0.29694</cdr:y>
    </cdr:to>
    <cdr:sp macro="" textlink="">
      <cdr:nvSpPr>
        <cdr:cNvPr id="6" name="Поле 5"/>
        <cdr:cNvSpPr txBox="1"/>
      </cdr:nvSpPr>
      <cdr:spPr>
        <a:xfrm xmlns:a="http://schemas.openxmlformats.org/drawingml/2006/main">
          <a:off x="4595365" y="255980"/>
          <a:ext cx="1108413" cy="318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rgbClr val="002060"/>
              </a:solidFill>
            </a:rPr>
            <a:t>ПФО 103,9</a:t>
          </a:r>
        </a:p>
      </cdr:txBody>
    </cdr:sp>
  </cdr:relSizeAnchor>
  <cdr:relSizeAnchor xmlns:cdr="http://schemas.openxmlformats.org/drawingml/2006/chartDrawing">
    <cdr:from>
      <cdr:x>0.59669</cdr:x>
      <cdr:y>0.49695</cdr:y>
    </cdr:from>
    <cdr:to>
      <cdr:x>0.6972</cdr:x>
      <cdr:y>0.59756</cdr:y>
    </cdr:to>
    <cdr:sp macro="" textlink="">
      <cdr:nvSpPr>
        <cdr:cNvPr id="7" name="Поле 6"/>
        <cdr:cNvSpPr txBox="1"/>
      </cdr:nvSpPr>
      <cdr:spPr>
        <a:xfrm xmlns:a="http://schemas.openxmlformats.org/drawingml/2006/main">
          <a:off x="2978150" y="1035050"/>
          <a:ext cx="5016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0.75685</cdr:x>
      <cdr:y>0.22809</cdr:y>
    </cdr:from>
    <cdr:to>
      <cdr:x>0.87008</cdr:x>
      <cdr:y>0.35614</cdr:y>
    </cdr:to>
    <cdr:sp macro="" textlink="">
      <cdr:nvSpPr>
        <cdr:cNvPr id="8" name="Поле 7"/>
        <cdr:cNvSpPr txBox="1"/>
      </cdr:nvSpPr>
      <cdr:spPr>
        <a:xfrm xmlns:a="http://schemas.openxmlformats.org/drawingml/2006/main">
          <a:off x="4610899" y="441323"/>
          <a:ext cx="689819" cy="247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rgbClr val="C00000"/>
              </a:solidFill>
            </a:rPr>
            <a:t>ЧР 102,1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rgbClr val="171616"/>
    </a:dk1>
    <a:lt1>
      <a:srgbClr val="FFFFFF"/>
    </a:lt1>
    <a:dk2>
      <a:srgbClr val="FFFFFF"/>
    </a:dk2>
    <a:lt2>
      <a:srgbClr val="E7E6E6"/>
    </a:lt2>
    <a:accent1>
      <a:srgbClr val="001E82"/>
    </a:accent1>
    <a:accent2>
      <a:srgbClr val="8EAADB"/>
    </a:accent2>
    <a:accent3>
      <a:srgbClr val="2F5496"/>
    </a:accent3>
    <a:accent4>
      <a:srgbClr val="44546A"/>
    </a:accent4>
    <a:accent5>
      <a:srgbClr val="44546A"/>
    </a:accent5>
    <a:accent6>
      <a:srgbClr val="001E82"/>
    </a:accent6>
    <a:hlink>
      <a:srgbClr val="0563C1"/>
    </a:hlink>
    <a:folHlink>
      <a:srgbClr val="954F72"/>
    </a:folHlink>
  </a:clrScheme>
  <a:fontScheme name="Осно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1652-B0CD-4DD1-96FD-23208B53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45</cp:revision>
  <cp:lastPrinted>2021-11-19T12:37:00Z</cp:lastPrinted>
  <dcterms:created xsi:type="dcterms:W3CDTF">2022-08-17T13:36:00Z</dcterms:created>
  <dcterms:modified xsi:type="dcterms:W3CDTF">2023-11-10T05:05:00Z</dcterms:modified>
</cp:coreProperties>
</file>