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D214AE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1/10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D214AE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>25.09.2024 № 1/10</w:t>
            </w:r>
            <w:r w:rsidR="003725FC" w:rsidRPr="00F63D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836280">
        <w:rPr>
          <w:rFonts w:ascii="Times New Roman" w:hAnsi="Times New Roman" w:cs="Times New Roman"/>
          <w:b/>
          <w:bCs/>
          <w:sz w:val="24"/>
          <w:szCs w:val="24"/>
        </w:rPr>
        <w:t>Собрания депутатов города Канаш 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Собрание депутатов </w:t>
      </w:r>
      <w:r w:rsidR="009B1F5B">
        <w:rPr>
          <w:rFonts w:ascii="Times New Roman" w:hAnsi="Times New Roman" w:cs="Times New Roman"/>
          <w:bCs/>
          <w:sz w:val="24"/>
          <w:szCs w:val="24"/>
        </w:rPr>
        <w:t xml:space="preserve">города Канаш 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ОГРН </w:t>
      </w:r>
      <w:r w:rsidR="0039081D">
        <w:rPr>
          <w:rFonts w:ascii="Times New Roman" w:hAnsi="Times New Roman" w:cs="Times New Roman"/>
          <w:bCs/>
          <w:sz w:val="24"/>
          <w:szCs w:val="24"/>
        </w:rPr>
        <w:t>1052134012644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ИНН/КПП </w:t>
      </w:r>
      <w:r w:rsidR="0039081D">
        <w:rPr>
          <w:rFonts w:ascii="Times New Roman" w:hAnsi="Times New Roman" w:cs="Times New Roman"/>
          <w:bCs/>
          <w:sz w:val="24"/>
          <w:szCs w:val="24"/>
        </w:rPr>
        <w:t>2123010690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B1F5B" w:rsidRPr="009B1F5B">
        <w:rPr>
          <w:rFonts w:ascii="Times New Roman" w:hAnsi="Times New Roman" w:cs="Times New Roman"/>
          <w:bCs/>
          <w:sz w:val="24"/>
          <w:szCs w:val="24"/>
        </w:rPr>
        <w:t>212301001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36280"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836280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8A3E1E" w:rsidRDefault="008A3E1E" w:rsidP="00CF65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3E1E">
        <w:rPr>
          <w:rFonts w:ascii="Times New Roman" w:hAnsi="Times New Roman" w:cs="Times New Roman"/>
          <w:bCs/>
          <w:sz w:val="24"/>
          <w:szCs w:val="24"/>
        </w:rPr>
        <w:t>В.Н. Михайлов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D214AE">
        <w:rPr>
          <w:rFonts w:ascii="Times New Roman" w:hAnsi="Times New Roman" w:cs="Times New Roman"/>
          <w:sz w:val="24"/>
          <w:szCs w:val="24"/>
        </w:rPr>
        <w:t>25.09.2024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D214AE">
        <w:rPr>
          <w:rFonts w:ascii="Times New Roman" w:hAnsi="Times New Roman" w:cs="Times New Roman"/>
          <w:sz w:val="24"/>
          <w:szCs w:val="24"/>
        </w:rPr>
        <w:t>1/10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r w:rsidR="009B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ликвидируемого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>Собрания депутатов города 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города Канаш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836280">
        <w:rPr>
          <w:color w:val="000000"/>
        </w:rPr>
        <w:t>Собрания депутатов города Канаш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управления делами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2.3.1. в сфере правового обеспечения: организация юридического сопровождения деятельности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>
        <w:rPr>
          <w:color w:val="000000"/>
        </w:rPr>
        <w:t>Собранием</w:t>
      </w:r>
      <w:r w:rsidRPr="00631737">
        <w:rPr>
          <w:color w:val="000000"/>
        </w:rPr>
        <w:t xml:space="preserve"> депутатов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.8. самостоятельно решает все вопросы деятельности ликвидируемого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836280">
        <w:rPr>
          <w:color w:val="000000"/>
        </w:rPr>
        <w:t>Собрания депутатов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836280">
        <w:rPr>
          <w:color w:val="000000"/>
        </w:rPr>
        <w:t>Собрания депутатов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>. Член ликвидационной комиссии несет ответственность за причиненный ущерб представительному органу местного самоуправления.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CF65A2">
          <w:headerReference w:type="default" r:id="rId9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D214AE">
        <w:rPr>
          <w:rFonts w:ascii="Times New Roman" w:hAnsi="Times New Roman" w:cs="Times New Roman"/>
          <w:sz w:val="24"/>
          <w:szCs w:val="24"/>
        </w:rPr>
        <w:t>25.09.2024 № 1/10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СОБРАНИЯ ДЕПУТАТОВ ГОРОДА КАНАШ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города Канаш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CF65A2" w:rsidRPr="00A82140" w:rsidRDefault="00CF65A2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дебиторской задолженности в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Канаш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Промежуточный ликвидационный баланс содержит сведения о составе имущества ликвидируемого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10.01.2025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Выплата денежных сумм кредиторам ликвидируемого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22.01.2025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CF65A2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всех взаиморасчетов (с налоговой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CF65A2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CF65A2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CF65A2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До 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CF65A2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D214AE">
        <w:rPr>
          <w:rFonts w:ascii="Times New Roman" w:hAnsi="Times New Roman" w:cs="Times New Roman"/>
          <w:sz w:val="24"/>
          <w:szCs w:val="24"/>
        </w:rPr>
        <w:t>25.09.2024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D214AE">
        <w:rPr>
          <w:rFonts w:ascii="Times New Roman" w:hAnsi="Times New Roman" w:cs="Times New Roman"/>
          <w:sz w:val="24"/>
          <w:szCs w:val="24"/>
        </w:rPr>
        <w:t>1/10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836280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города Канаш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 Олег Валентинович</w:t>
      </w:r>
      <w:r w:rsidR="00B87B8D" w:rsidRPr="00DF2215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 w:rsidR="0083628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36280">
        <w:rPr>
          <w:rFonts w:ascii="Times New Roman" w:hAnsi="Times New Roman" w:cs="Times New Roman"/>
          <w:sz w:val="24"/>
          <w:szCs w:val="24"/>
        </w:rPr>
        <w:t>Канаш</w:t>
      </w:r>
      <w:r w:rsidR="00D214A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214A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3628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B87B8D" w:rsidRPr="00DF2215">
        <w:rPr>
          <w:rFonts w:ascii="Times New Roman" w:hAnsi="Times New Roman" w:cs="Times New Roman"/>
          <w:sz w:val="24"/>
          <w:szCs w:val="24"/>
        </w:rPr>
        <w:t>, председатель ликвидационной комиссии.</w:t>
      </w: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D" w:rsidRPr="00DF2215" w:rsidRDefault="00B87B8D" w:rsidP="009E1F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F2215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Николай Иванович –заместитель главы –начальник отдела экономики и имущественных отношений администрации города Канаш;</w:t>
      </w:r>
    </w:p>
    <w:p w:rsidR="009E1F12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Леонтьева Елена Анатольевна –начальник правового отдела администрации города Канаш;</w:t>
      </w:r>
    </w:p>
    <w:p w:rsidR="009E1F12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 Николай Георгиевич –директор </w:t>
      </w:r>
      <w:r w:rsidR="009D2A06">
        <w:rPr>
          <w:rFonts w:ascii="Times New Roman" w:hAnsi="Times New Roman" w:cs="Times New Roman"/>
          <w:sz w:val="24"/>
          <w:szCs w:val="24"/>
        </w:rPr>
        <w:t>муниципального казенного учреждения «Центр закупок и бухгалтерского обслуживания города Канаш Чувашской Республики»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1F12" w:rsidRPr="00DF2215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Сладкова Светлана Николаевна –главный специалист –эксперт правового отдела администрации города Канаш.</w:t>
      </w:r>
    </w:p>
    <w:p w:rsidR="00B87B8D" w:rsidRPr="007B2BD3" w:rsidRDefault="00B87B8D" w:rsidP="009E1F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7B" w:rsidRDefault="00AC287B" w:rsidP="0028121E">
      <w:r>
        <w:separator/>
      </w:r>
    </w:p>
  </w:endnote>
  <w:endnote w:type="continuationSeparator" w:id="0">
    <w:p w:rsidR="00AC287B" w:rsidRDefault="00AC287B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7B" w:rsidRDefault="00AC287B" w:rsidP="0028121E">
      <w:r>
        <w:separator/>
      </w:r>
    </w:p>
  </w:footnote>
  <w:footnote w:type="continuationSeparator" w:id="0">
    <w:p w:rsidR="00AC287B" w:rsidRDefault="00AC287B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44DB0"/>
    <w:rsid w:val="00151F09"/>
    <w:rsid w:val="0015556C"/>
    <w:rsid w:val="00170777"/>
    <w:rsid w:val="00175B68"/>
    <w:rsid w:val="001B3CFA"/>
    <w:rsid w:val="001B57E6"/>
    <w:rsid w:val="001C45E1"/>
    <w:rsid w:val="001D3B4E"/>
    <w:rsid w:val="001D4056"/>
    <w:rsid w:val="001D5A79"/>
    <w:rsid w:val="001E096A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802B2"/>
    <w:rsid w:val="0028121E"/>
    <w:rsid w:val="00293B1A"/>
    <w:rsid w:val="002A1BF3"/>
    <w:rsid w:val="002B7018"/>
    <w:rsid w:val="002C76B4"/>
    <w:rsid w:val="002D2469"/>
    <w:rsid w:val="002D4613"/>
    <w:rsid w:val="002F2F2F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E12DC"/>
    <w:rsid w:val="003E6892"/>
    <w:rsid w:val="0040130A"/>
    <w:rsid w:val="004149D5"/>
    <w:rsid w:val="004317DE"/>
    <w:rsid w:val="00436B39"/>
    <w:rsid w:val="00441BC8"/>
    <w:rsid w:val="004447CA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605B48"/>
    <w:rsid w:val="00610A36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80C44"/>
    <w:rsid w:val="008826CB"/>
    <w:rsid w:val="00886043"/>
    <w:rsid w:val="008A3E1E"/>
    <w:rsid w:val="008B3AB1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537A4"/>
    <w:rsid w:val="0095679F"/>
    <w:rsid w:val="00965E7E"/>
    <w:rsid w:val="009733CD"/>
    <w:rsid w:val="009847F1"/>
    <w:rsid w:val="00997A4A"/>
    <w:rsid w:val="00997DFA"/>
    <w:rsid w:val="009A0B69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E07F8"/>
    <w:rsid w:val="00CE43CF"/>
    <w:rsid w:val="00CF65A2"/>
    <w:rsid w:val="00D172AF"/>
    <w:rsid w:val="00D20097"/>
    <w:rsid w:val="00D214AE"/>
    <w:rsid w:val="00D23250"/>
    <w:rsid w:val="00D238E5"/>
    <w:rsid w:val="00D266A3"/>
    <w:rsid w:val="00D3307F"/>
    <w:rsid w:val="00D3401F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919DA"/>
    <w:rsid w:val="00F91DD2"/>
    <w:rsid w:val="00F92C02"/>
    <w:rsid w:val="00FA63A8"/>
    <w:rsid w:val="00FB63A3"/>
    <w:rsid w:val="00FB6AE2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C86F-A018-4831-B1DF-C32984E7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20209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13</cp:revision>
  <cp:lastPrinted>2024-09-25T07:51:00Z</cp:lastPrinted>
  <dcterms:created xsi:type="dcterms:W3CDTF">2024-08-21T13:15:00Z</dcterms:created>
  <dcterms:modified xsi:type="dcterms:W3CDTF">2024-09-26T06:11:00Z</dcterms:modified>
</cp:coreProperties>
</file>