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sz w:val="24"/>
          <w:szCs w:val="24"/>
        </w:rPr>
      </w:pPr>
      <w:r>
        <w:rPr>
          <w:rFonts w:eastAsia="Times New Roman" w:cs="Times New Roman" w:ascii="Times New Roman" w:hAnsi="Times New Roman"/>
          <w:b/>
          <w:bCs/>
          <w:i w:val="false"/>
          <w:iCs w:val="false"/>
          <w:sz w:val="24"/>
          <w:szCs w:val="22"/>
          <w:lang w:eastAsia="ar-SA"/>
        </w:rPr>
        <w:t>О</w:t>
      </w:r>
      <w:r>
        <w:rPr>
          <w:rFonts w:eastAsia="Times New Roman" w:cs="Times New Roman" w:ascii="Times New Roman" w:hAnsi="Times New Roman"/>
          <w:b/>
          <w:bCs/>
          <w:i w:val="false"/>
          <w:iCs w:val="false"/>
          <w:szCs w:val="22"/>
          <w:lang w:eastAsia="ar-SA"/>
        </w:rPr>
        <w:t xml:space="preserve"> реализации мероприятий инвестиционного профиля Ядринского муниципального округа ЧР на 01.0</w:t>
      </w:r>
      <w:r>
        <w:rPr>
          <w:rFonts w:eastAsia="Times New Roman" w:cs="Times New Roman" w:ascii="Times New Roman" w:hAnsi="Times New Roman"/>
          <w:b/>
          <w:bCs/>
          <w:i w:val="false"/>
          <w:iCs w:val="false"/>
          <w:szCs w:val="22"/>
          <w:lang w:eastAsia="ar-SA"/>
        </w:rPr>
        <w:t>4</w:t>
      </w:r>
      <w:r>
        <w:rPr>
          <w:rFonts w:eastAsia="Times New Roman" w:cs="Times New Roman" w:ascii="Times New Roman" w:hAnsi="Times New Roman"/>
          <w:b/>
          <w:bCs/>
          <w:i w:val="false"/>
          <w:iCs w:val="false"/>
          <w:szCs w:val="22"/>
          <w:lang w:eastAsia="ar-SA"/>
        </w:rPr>
        <w:t>.2023</w:t>
      </w:r>
    </w:p>
    <w:p>
      <w:pPr>
        <w:pStyle w:val="Normal"/>
        <w:spacing w:lineRule="auto" w:line="240" w:before="0" w:after="0"/>
        <w:jc w:val="right"/>
        <w:rPr>
          <w:rFonts w:ascii="Times New Roman" w:hAnsi="Times New Roman" w:cs="Times New Roman"/>
        </w:rPr>
      </w:pPr>
      <w:r>
        <w:rPr>
          <w:rFonts w:cs="Times New Roman" w:ascii="Times New Roman" w:hAnsi="Times New Roman"/>
        </w:rPr>
      </w:r>
    </w:p>
    <w:tbl>
      <w:tblPr>
        <w:tblStyle w:val="ab"/>
        <w:tblW w:w="1452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4"/>
        <w:gridCol w:w="2124"/>
        <w:gridCol w:w="2836"/>
        <w:gridCol w:w="9025"/>
      </w:tblGrid>
      <w:tr>
        <w:trPr/>
        <w:tc>
          <w:tcPr>
            <w:tcW w:w="534" w:type="dxa"/>
            <w:tcBorders/>
          </w:tcPr>
          <w:p>
            <w:pPr>
              <w:pStyle w:val="Normal"/>
              <w:widowControl w:val="false"/>
              <w:suppressAutoHyphens w:val="true"/>
              <w:spacing w:lineRule="auto" w:line="240" w:before="0" w:after="0"/>
              <w:jc w:val="both"/>
              <w:rPr>
                <w:rFonts w:ascii="Times New Roman" w:hAnsi="Times New Roman" w:cs="Times New Roman"/>
                <w:b/>
                <w:b/>
                <w:bCs/>
              </w:rPr>
            </w:pPr>
            <w:r>
              <w:rPr>
                <w:rFonts w:eastAsia="Calibri" w:cs="Times New Roman" w:ascii="Times New Roman" w:hAnsi="Times New Roman"/>
                <w:b/>
                <w:bCs/>
                <w:kern w:val="0"/>
                <w:sz w:val="22"/>
                <w:szCs w:val="22"/>
                <w:lang w:val="ru-RU" w:eastAsia="en-US" w:bidi="ar-SA"/>
              </w:rPr>
              <w:t>№</w:t>
            </w:r>
          </w:p>
        </w:tc>
        <w:tc>
          <w:tcPr>
            <w:tcW w:w="2124" w:type="dxa"/>
            <w:tcBorders/>
          </w:tcPr>
          <w:p>
            <w:pPr>
              <w:pStyle w:val="Normal"/>
              <w:widowControl w:val="false"/>
              <w:suppressAutoHyphens w:val="true"/>
              <w:spacing w:lineRule="auto" w:line="240" w:before="0" w:after="0"/>
              <w:jc w:val="center"/>
              <w:rPr>
                <w:rFonts w:ascii="Times New Roman" w:hAnsi="Times New Roman" w:cs="Times New Roman"/>
                <w:b/>
                <w:b/>
                <w:bCs/>
              </w:rPr>
            </w:pPr>
            <w:r>
              <w:rPr>
                <w:rFonts w:eastAsia="Calibri" w:cs="Times New Roman" w:ascii="Times New Roman" w:hAnsi="Times New Roman"/>
                <w:b/>
                <w:bCs/>
                <w:kern w:val="0"/>
                <w:sz w:val="22"/>
                <w:szCs w:val="22"/>
                <w:lang w:val="ru-RU" w:eastAsia="en-US" w:bidi="ar-SA"/>
              </w:rPr>
              <w:t>Наименование муниципального образования</w:t>
            </w:r>
          </w:p>
        </w:tc>
        <w:tc>
          <w:tcPr>
            <w:tcW w:w="2836" w:type="dxa"/>
            <w:tcBorders/>
          </w:tcPr>
          <w:p>
            <w:pPr>
              <w:pStyle w:val="Normal"/>
              <w:widowControl w:val="false"/>
              <w:suppressAutoHyphens w:val="true"/>
              <w:spacing w:lineRule="auto" w:line="240" w:before="0" w:after="0"/>
              <w:jc w:val="center"/>
              <w:rPr>
                <w:rFonts w:ascii="Times New Roman" w:hAnsi="Times New Roman" w:cs="Times New Roman"/>
                <w:b/>
                <w:b/>
                <w:bCs/>
              </w:rPr>
            </w:pPr>
            <w:r>
              <w:rPr>
                <w:rFonts w:eastAsia="Calibri" w:cs="Times New Roman" w:ascii="Times New Roman" w:hAnsi="Times New Roman"/>
                <w:b/>
                <w:bCs/>
                <w:kern w:val="0"/>
                <w:sz w:val="22"/>
                <w:szCs w:val="22"/>
                <w:lang w:val="ru-RU" w:eastAsia="en-US" w:bidi="ar-SA"/>
              </w:rPr>
              <w:t>Выработанные мероприятия по отраслям</w:t>
            </w:r>
          </w:p>
        </w:tc>
        <w:tc>
          <w:tcPr>
            <w:tcW w:w="9025" w:type="dxa"/>
            <w:tcBorders/>
          </w:tcPr>
          <w:p>
            <w:pPr>
              <w:pStyle w:val="Normal"/>
              <w:widowControl w:val="false"/>
              <w:suppressAutoHyphens w:val="true"/>
              <w:spacing w:lineRule="auto" w:line="240" w:before="0" w:after="0"/>
              <w:jc w:val="center"/>
              <w:rPr>
                <w:rFonts w:ascii="Times New Roman" w:hAnsi="Times New Roman" w:cs="Times New Roman"/>
                <w:b/>
                <w:b/>
                <w:bCs/>
              </w:rPr>
            </w:pPr>
            <w:r>
              <w:rPr>
                <w:rFonts w:eastAsia="Calibri" w:cs="Times New Roman" w:ascii="Times New Roman" w:hAnsi="Times New Roman"/>
                <w:b/>
                <w:bCs/>
                <w:kern w:val="0"/>
                <w:sz w:val="22"/>
                <w:szCs w:val="22"/>
                <w:lang w:val="ru-RU" w:eastAsia="en-US" w:bidi="ar-SA"/>
              </w:rPr>
              <w:t>Информация о проделанной работе</w:t>
            </w:r>
          </w:p>
        </w:tc>
      </w:tr>
      <w:tr>
        <w:trPr/>
        <w:tc>
          <w:tcPr>
            <w:tcW w:w="534"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19</w:t>
            </w:r>
          </w:p>
        </w:tc>
        <w:tc>
          <w:tcPr>
            <w:tcW w:w="2124"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Ядринский</w:t>
            </w:r>
          </w:p>
        </w:tc>
        <w:tc>
          <w:tcPr>
            <w:tcW w:w="2836" w:type="dxa"/>
            <w:tcBorders/>
          </w:tcPr>
          <w:p>
            <w:pPr>
              <w:pStyle w:val="Normal"/>
              <w:widowControl w:val="false"/>
              <w:suppressAutoHyphens w:val="true"/>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ru-RU" w:eastAsia="en-US" w:bidi="ar-SA"/>
              </w:rPr>
              <w:t>АПК</w:t>
            </w:r>
          </w:p>
        </w:tc>
        <w:tc>
          <w:tcPr>
            <w:tcW w:w="9025"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Проведена серия встреч с представителями личного подсобного хозяйства в формате дискуссий с приглашением представителей местных перерабатывающих предприятий на предмет кооперации.</w:t>
            </w:r>
          </w:p>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14 марта т.г. проведено  семинар-совещание пчеловодов с участием главы Ядринского муниципального округа Станиславом Трофимовым, и.о. заместителя главы по вопросам экономики, имущества и сельского хозяйства -начальником отдела сельского хозяйства Юрием Васильевым, генеральным директором ОАО «Агентство по пчеловодству» Геннадием Максимовым, заместителем генерального директора ОАО «Агенство по пчеловодству» Анатолием Васильевым, доктором сельскохозяйственных наук Иваном Мадебейкиным и начальником БУ ЧР «Ядринская районная СББЖ» Госветслужбы Чувашии- Виктором Скобелевым.</w:t>
            </w:r>
            <w:r>
              <w:rPr>
                <w:rFonts w:eastAsia="Calibri"/>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Пчеловодами округа выступающим были заданы вопросы, на которые они получили подробные ответы.</w:t>
            </w:r>
          </w:p>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23 марта текущего года в д. Кильдишево Ядринского муниципального округа проведена  агроинженерная конференция по вопросам проведения сельскохозяйственных полевых работ с руководителями сельскохозяйственных организаций, специалистами и главами крестьянских (фермерских) хозяйств. В первой части в автопарке крестьянского (фермерского) хозяйства Григорьевой Ольги Владимировны состоялась презентация современной сельскохозяйственной техники. Участникам конференции были продемонстрированы почвенный инъектор и система точного земледелия. Вторая часть конференции прошла в Советском доме культуры, где состоялось обсуждение подготовки сельхозтехники к весеннему полевому сезону, норм внесения минеральных и органических удобрений, состояния семенного материала.</w:t>
            </w:r>
          </w:p>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И.о. заместителя главы Ядринского муниципального округа по вопросам экономики, имущества и сельского хозяйства проведен прием руководителей сельскохозяйственных предприятий, крестьянских (фермерских хозяйств) и самозанятых. На приеме рассмотрено  4 обращения, среди них: предоставление государственной поддержки в форме гранта «Перспектива»; поддержка самозанятых;</w:t>
            </w:r>
            <w:r>
              <w:rPr>
                <w:rFonts w:eastAsia="Calibri"/>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проблемы борьбы с борщевиком.</w:t>
            </w:r>
            <w:r>
              <w:rPr>
                <w:rFonts w:eastAsia="Calibri"/>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Решение всех вопросов, рассмотренных в ходе приема граждан, взяты на контроль администрации Ядринского муниципального округа.</w:t>
            </w:r>
          </w:p>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Проведены ряд  встреч с потенциальными участниками в обучающем проекте «Школа фермера» по следующим направлениям: «Овцеводство», «Сельский туризм».</w:t>
            </w:r>
          </w:p>
          <w:p>
            <w:pPr>
              <w:pStyle w:val="Normal"/>
              <w:widowControl w:val="false"/>
              <w:suppressAutoHyphens w:val="true"/>
              <w:spacing w:lineRule="auto" w:line="240" w:before="0" w:after="0"/>
              <w:jc w:val="both"/>
              <w:rPr>
                <w:rFonts w:eastAsia="Calibri"/>
                <w:kern w:val="0"/>
                <w:sz w:val="22"/>
                <w:szCs w:val="22"/>
                <w:lang w:val="ru-RU" w:eastAsia="en-US" w:bidi="ar-SA"/>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Оказана консультация 25 гражданам, ведущим ЛПХ по регистрации в качестве самозанятого</w:t>
            </w:r>
          </w:p>
        </w:tc>
      </w:tr>
      <w:tr>
        <w:trPr/>
        <w:tc>
          <w:tcPr>
            <w:tcW w:w="534" w:type="dxa"/>
            <w:tcBorders/>
          </w:tcPr>
          <w:p>
            <w:pPr>
              <w:pStyle w:val="Normal"/>
              <w:widowControl w:val="false"/>
              <w:suppressAutoHyphens w:val="true"/>
              <w:spacing w:lineRule="auto" w:line="240" w:before="0" w:after="0"/>
              <w:jc w:val="both"/>
              <w:rPr>
                <w:rFonts w:ascii="Times New Roman" w:hAnsi="Times New Roman" w:cs="Times New Roman"/>
              </w:rPr>
            </w:pPr>
            <w:r>
              <w:rPr>
                <w:rFonts w:cs="Times New Roman" w:ascii="Times New Roman" w:hAnsi="Times New Roman"/>
                <w:sz w:val="22"/>
              </w:rPr>
            </w:r>
          </w:p>
        </w:tc>
        <w:tc>
          <w:tcPr>
            <w:tcW w:w="2124"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2836" w:type="dxa"/>
            <w:tcBorders/>
          </w:tcPr>
          <w:p>
            <w:pPr>
              <w:pStyle w:val="Normal"/>
              <w:widowControl w:val="false"/>
              <w:suppressAutoHyphens w:val="true"/>
              <w:spacing w:lineRule="auto" w:line="240" w:before="0" w:after="200"/>
              <w:jc w:val="both"/>
              <w:rPr>
                <w:rFonts w:ascii="Times New Roman" w:hAnsi="Times New Roman" w:cs="Times New Roman"/>
                <w:b/>
                <w:b/>
              </w:rPr>
            </w:pPr>
            <w:r>
              <w:rPr>
                <w:rFonts w:eastAsia="Calibri" w:cs="Times New Roman" w:ascii="Times New Roman" w:hAnsi="Times New Roman"/>
                <w:b/>
                <w:kern w:val="0"/>
                <w:sz w:val="22"/>
                <w:szCs w:val="22"/>
                <w:lang w:val="ru-RU" w:eastAsia="en-US" w:bidi="ar-SA"/>
              </w:rPr>
              <w:t>Промышленность</w:t>
            </w:r>
          </w:p>
        </w:tc>
        <w:tc>
          <w:tcPr>
            <w:tcW w:w="9025" w:type="dxa"/>
            <w:tcBorders/>
          </w:tcPr>
          <w:p>
            <w:pPr>
              <w:pStyle w:val="Normal"/>
              <w:widowControl w:val="false"/>
              <w:suppressAutoHyphens w:val="true"/>
              <w:spacing w:lineRule="auto" w:line="240" w:before="0" w:after="200"/>
              <w:jc w:val="both"/>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Проведено 8 очных встреч с предпринимателями для обсуждения планов развития и оказания мер государственной поддержки. Проведено 10 встреч с инвесторами, организовано посещение главой Ядринского муниципального округа на промышленные предприятия: ООО «Спиртовой завод «Ядринский», АО «Ядринский кирпичный завод», ОАО «Ядринмолоко», АО «Ядринская швейная фабрика», ООО «Евротрейдинг»,  а также площадок, реализуемых и запланированных проектов.</w:t>
            </w:r>
          </w:p>
          <w:p>
            <w:pPr>
              <w:pStyle w:val="Normal"/>
              <w:widowControl w:val="false"/>
              <w:suppressAutoHyphens w:val="true"/>
              <w:spacing w:lineRule="auto" w:line="240" w:before="0" w:after="200"/>
              <w:jc w:val="both"/>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Посещение объектов промышленности будет продолжена.</w:t>
            </w:r>
          </w:p>
        </w:tc>
      </w:tr>
      <w:tr>
        <w:trPr/>
        <w:tc>
          <w:tcPr>
            <w:tcW w:w="534" w:type="dxa"/>
            <w:tcBorders/>
          </w:tcPr>
          <w:p>
            <w:pPr>
              <w:pStyle w:val="Normal"/>
              <w:widowControl w:val="false"/>
              <w:suppressAutoHyphens w:val="true"/>
              <w:spacing w:lineRule="auto" w:line="240" w:before="0" w:after="0"/>
              <w:jc w:val="both"/>
              <w:rPr>
                <w:rFonts w:ascii="Times New Roman" w:hAnsi="Times New Roman" w:cs="Times New Roman"/>
              </w:rPr>
            </w:pPr>
            <w:r>
              <w:rPr>
                <w:rFonts w:cs="Times New Roman" w:ascii="Times New Roman" w:hAnsi="Times New Roman"/>
                <w:sz w:val="22"/>
              </w:rPr>
            </w:r>
          </w:p>
        </w:tc>
        <w:tc>
          <w:tcPr>
            <w:tcW w:w="2124"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2836" w:type="dxa"/>
            <w:tcBorders/>
          </w:tcPr>
          <w:p>
            <w:pPr>
              <w:pStyle w:val="Normal"/>
              <w:widowControl w:val="false"/>
              <w:suppressAutoHyphens w:val="true"/>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ru-RU" w:eastAsia="en-US" w:bidi="ar-SA"/>
              </w:rPr>
              <w:t>Туризм</w:t>
            </w:r>
          </w:p>
        </w:tc>
        <w:tc>
          <w:tcPr>
            <w:tcW w:w="9025" w:type="dxa"/>
            <w:tcBorders/>
          </w:tcPr>
          <w:p>
            <w:pPr>
              <w:pStyle w:val="Normal"/>
              <w:widowControl w:val="false"/>
              <w:suppressAutoHyphens w:val="true"/>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Организовано посещение главой Ядринского муниципального округа турбазы «Сурские зори». Рассмотрены перспективы развития туризма, также обсуждены механизмы привлечения туристов.</w:t>
            </w:r>
          </w:p>
          <w:p>
            <w:pPr>
              <w:pStyle w:val="Normal"/>
              <w:widowControl w:val="false"/>
              <w:suppressAutoHyphens w:val="true"/>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Постоянно оказывается консультационная поддержка руководителю общества с ограниченной ответственностью  «Республиканский центр рыбалки и водного туризма «Ядринский форт».</w:t>
            </w:r>
          </w:p>
          <w:p>
            <w:pPr>
              <w:pStyle w:val="Normal"/>
              <w:widowControl w:val="false"/>
              <w:suppressAutoHyphens w:val="true"/>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Оказывается консультационная поддержка строительной компании «РЕАМ-СТРОЙ», который ведет реконструкцию нежилого помещения - трехэтажного здания из железобетонных панелей в г. Ядрин  под Дом торговли, в том числе с размещением объектов общепита, центра бытовых услуг, заведений развлекательных форматов, гостиницы. Общая стоимость проекта 75 млн. рублей, в этом году уже планирует вложить около 50 млн. рублей. Будет создано 20 новых рабочих мест. Срок сдачи объекта — 2024 год.</w:t>
            </w:r>
          </w:p>
          <w:p>
            <w:pPr>
              <w:pStyle w:val="Normal"/>
              <w:widowControl w:val="false"/>
              <w:suppressAutoHyphens w:val="true"/>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В марте т.г. сотрудники администрации Ядринского муниципального округа были на приеме у заместителя министра природных ресурсов и экологии Чувашской Республики Охотина Н.Н., где рассмотрены вопросы развития экологического туризма в Ядринском муниципальном округе.</w:t>
            </w:r>
          </w:p>
        </w:tc>
      </w:tr>
      <w:tr>
        <w:trPr/>
        <w:tc>
          <w:tcPr>
            <w:tcW w:w="534" w:type="dxa"/>
            <w:tcBorders/>
          </w:tcPr>
          <w:p>
            <w:pPr>
              <w:pStyle w:val="Normal"/>
              <w:widowControl w:val="false"/>
              <w:suppressAutoHyphens w:val="true"/>
              <w:spacing w:lineRule="auto" w:line="240" w:before="0" w:after="0"/>
              <w:jc w:val="both"/>
              <w:rPr>
                <w:rFonts w:ascii="Times New Roman" w:hAnsi="Times New Roman" w:cs="Times New Roman"/>
              </w:rPr>
            </w:pPr>
            <w:r>
              <w:rPr>
                <w:rFonts w:cs="Times New Roman" w:ascii="Times New Roman" w:hAnsi="Times New Roman"/>
                <w:sz w:val="22"/>
              </w:rPr>
            </w:r>
          </w:p>
        </w:tc>
        <w:tc>
          <w:tcPr>
            <w:tcW w:w="2124"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2836" w:type="dxa"/>
            <w:tcBorders/>
          </w:tcPr>
          <w:p>
            <w:pPr>
              <w:pStyle w:val="Normal"/>
              <w:widowControl w:val="false"/>
              <w:suppressAutoHyphens w:val="true"/>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ru-RU" w:eastAsia="en-US" w:bidi="ar-SA"/>
              </w:rPr>
              <w:t>Земельные и имущественные отношения</w:t>
            </w:r>
          </w:p>
        </w:tc>
        <w:tc>
          <w:tcPr>
            <w:tcW w:w="9025" w:type="dxa"/>
            <w:tcBorders/>
          </w:tcPr>
          <w:p>
            <w:pPr>
              <w:pStyle w:val="Normal"/>
              <w:widowControl w:val="false"/>
              <w:suppressAutoHyphens w:val="true"/>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Подготовлен реестр свободных  земельных участков, производственных площадок и объектов инфраструктуры по  Ядринскому муниципальному округу. Реестр постоянно актуализируется.</w:t>
            </w:r>
          </w:p>
        </w:tc>
      </w:tr>
      <w:tr>
        <w:trPr/>
        <w:tc>
          <w:tcPr>
            <w:tcW w:w="534" w:type="dxa"/>
            <w:tcBorders/>
          </w:tcPr>
          <w:p>
            <w:pPr>
              <w:pStyle w:val="Normal"/>
              <w:widowControl w:val="false"/>
              <w:suppressAutoHyphens w:val="tru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tc>
        <w:tc>
          <w:tcPr>
            <w:tcW w:w="2124" w:type="dxa"/>
            <w:tcBorders/>
          </w:tcPr>
          <w:p>
            <w:pPr>
              <w:pStyle w:val="Normal"/>
              <w:widowControl w:val="false"/>
              <w:suppressAutoHyphens w:val="true"/>
              <w:spacing w:lineRule="auto" w:line="240" w:before="0" w:after="0"/>
              <w:jc w:val="left"/>
              <w:rPr>
                <w:rFonts w:ascii="Times New Roman" w:hAnsi="Times New Roman" w:cs="Times New Roman"/>
                <w:sz w:val="20"/>
                <w:szCs w:val="20"/>
              </w:rPr>
            </w:pPr>
            <w:r>
              <w:rPr>
                <w:rFonts w:cs="Times New Roman" w:ascii="Times New Roman" w:hAnsi="Times New Roman"/>
                <w:sz w:val="20"/>
                <w:szCs w:val="20"/>
              </w:rPr>
            </w:r>
          </w:p>
        </w:tc>
        <w:tc>
          <w:tcPr>
            <w:tcW w:w="2836" w:type="dxa"/>
            <w:tcBorders/>
          </w:tcPr>
          <w:p>
            <w:pPr>
              <w:pStyle w:val="Normal"/>
              <w:widowControl w:val="false"/>
              <w:suppressAutoHyphens w:val="true"/>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ru-RU" w:eastAsia="en-US" w:bidi="ar-SA"/>
              </w:rPr>
              <w:t>Предпринимательство</w:t>
            </w:r>
          </w:p>
        </w:tc>
        <w:tc>
          <w:tcPr>
            <w:tcW w:w="9025" w:type="dxa"/>
            <w:tcBorders/>
          </w:tcPr>
          <w:p>
            <w:pPr>
              <w:pStyle w:val="Normal"/>
              <w:widowControl w:val="false"/>
              <w:suppressAutoHyphens w:val="true"/>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7 февраля на площадке ЦЦОД «IT-Куб. Ядрин» в Ядринском агротехническом техникуме  состоялся Информационный день малого и среднего предпринимательства. Информационная поддержка была оказана  50 субъектам предпринимательства.</w:t>
            </w:r>
          </w:p>
          <w:p>
            <w:pPr>
              <w:pStyle w:val="Normal"/>
              <w:widowControl w:val="false"/>
              <w:suppressAutoHyphens w:val="true"/>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15 марта текущего года в рамках Единого информационного дня руководителем аппарата по обеспечению деятельности Уполномоченного по защите прав предпринимателей в Чувашской Республике Сергеем Тихоновым совместно с начальником отдела экономики и инвестиционной деятельности администрации Ядринского муниципального округа Инной Ильиной проведена встреча с молодыми предпринимателями и бизнесменами. В ходе конструктивного диалога начинающие и ещё только планирующие свой предпринимательский путь представители этой отрасли получили исчерпывающие ответы на интересующие их вопросы. Также на мероприятии были рассмотрены возможности предоставления всесторонней поддержки со стороны аппарата по обеспечению деятельности Уполномоченного по защите прав предпринимателей в Чувашской Республике.</w:t>
            </w:r>
          </w:p>
          <w:p>
            <w:pPr>
              <w:pStyle w:val="Normal"/>
              <w:widowControl w:val="false"/>
              <w:suppressAutoHyphens w:val="true"/>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На сегодняшний день осуществляется  прием документов от молодых предпринимателей до 25 лет, желающих получить гранты до 500 тысяч на развитие своего дела в рамках национального проекта «Малое и среднее предпринимательство и поддержка индивидуальной предпринимательской инициативы». В феврале из Ядринского муниципального округа Чувашской республики 7 претендентов обучились основам предпринимательской деятельности на акселерационной программе от центра “Мой бизнес” и сейчас совместно готовят свои грантовые заявки. Сотрудники администрации муниципального округа консультируют их  на постоянной основе.</w:t>
            </w:r>
          </w:p>
          <w:p>
            <w:pPr>
              <w:pStyle w:val="Normal"/>
              <w:widowControl w:val="false"/>
              <w:suppressAutoHyphens w:val="true"/>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Оказана консультация 10 гражданам по составлению бизнес- планов и в получении государственной помощи. Ходатайства на разработку бизнес-проектов на безвозмездной основе  выданы троим предпринимателям.</w:t>
            </w:r>
          </w:p>
          <w:p>
            <w:pPr>
              <w:pStyle w:val="Normal"/>
              <w:widowControl w:val="false"/>
              <w:suppressAutoHyphens w:val="true"/>
              <w:spacing w:lineRule="auto" w:line="240" w:before="0" w:after="0"/>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Проведены 7  приемов субъектов предпринимательской деятельности, самозанятых граждан, оказана  консультация  13 предпринимателям, самозанятым.</w:t>
            </w:r>
          </w:p>
        </w:tc>
      </w:tr>
      <w:tr>
        <w:trPr/>
        <w:tc>
          <w:tcPr>
            <w:tcW w:w="534" w:type="dxa"/>
            <w:tcBorders/>
          </w:tcPr>
          <w:p>
            <w:pPr>
              <w:pStyle w:val="Normal"/>
              <w:widowControl w:val="false"/>
              <w:suppressAutoHyphens w:val="tru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tc>
        <w:tc>
          <w:tcPr>
            <w:tcW w:w="2124"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sz w:val="22"/>
              </w:rPr>
            </w:r>
          </w:p>
        </w:tc>
        <w:tc>
          <w:tcPr>
            <w:tcW w:w="2836" w:type="dxa"/>
            <w:tcBorders/>
          </w:tcPr>
          <w:p>
            <w:pPr>
              <w:pStyle w:val="Normal"/>
              <w:widowControl w:val="false"/>
              <w:suppressAutoHyphens w:val="true"/>
              <w:spacing w:lineRule="auto" w:line="240" w:before="0" w:after="0"/>
              <w:jc w:val="both"/>
              <w:rPr>
                <w:rFonts w:ascii="Times New Roman" w:hAnsi="Times New Roman" w:cs="Times New Roman"/>
                <w:b/>
                <w:b/>
              </w:rPr>
            </w:pPr>
            <w:r>
              <w:rPr>
                <w:rFonts w:eastAsia="Calibri" w:cs="Times New Roman" w:ascii="Times New Roman" w:hAnsi="Times New Roman"/>
                <w:b/>
                <w:kern w:val="0"/>
                <w:sz w:val="22"/>
                <w:szCs w:val="22"/>
                <w:lang w:val="ru-RU" w:eastAsia="en-US" w:bidi="ar-SA"/>
              </w:rPr>
              <w:t>Социальная среда, культура и спорт</w:t>
            </w:r>
          </w:p>
        </w:tc>
        <w:tc>
          <w:tcPr>
            <w:tcW w:w="9025" w:type="dxa"/>
            <w:tcBorders/>
          </w:tcPr>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Консультация с Министерством культуры, по делам национальностей и архивного дела Чувашской Республики по вопросам реставрации объектов культурного наследия ведется на постоянной основе.</w:t>
            </w:r>
          </w:p>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Администрация Ядринского муниципального округа уделяет большое внимание повышению уровня жизни населения, активно  вовлекая жителей в заключение социальных контрактов. С начала  года с малоимущими гражданами заключено 25 новых социальных контрактов.</w:t>
            </w:r>
          </w:p>
        </w:tc>
      </w:tr>
    </w:tbl>
    <w:p>
      <w:pPr>
        <w:pStyle w:val="Normal"/>
        <w:jc w:val="center"/>
        <w:rPr>
          <w:rFonts w:ascii="Times New Roman" w:hAnsi="Times New Roman" w:cs="Times New Roman"/>
          <w:b/>
          <w:b/>
          <w:sz w:val="26"/>
          <w:szCs w:val="26"/>
        </w:rPr>
      </w:pPr>
      <w:r>
        <w:rPr>
          <w:rFonts w:cs="Times New Roman" w:ascii="Times New Roman" w:hAnsi="Times New Roman"/>
          <w:b/>
          <w:sz w:val="26"/>
          <w:szCs w:val="26"/>
        </w:rPr>
      </w:r>
    </w:p>
    <w:p>
      <w:pPr>
        <w:pStyle w:val="Normal"/>
        <w:spacing w:before="0" w:after="200"/>
        <w:jc w:val="center"/>
        <w:rPr>
          <w:rFonts w:ascii="Times New Roman" w:hAnsi="Times New Roman" w:cs="Times New Roman"/>
          <w:b/>
          <w:b/>
          <w:sz w:val="26"/>
          <w:szCs w:val="26"/>
        </w:rPr>
      </w:pPr>
      <w:r>
        <w:rPr>
          <w:rFonts w:cs="Times New Roman" w:ascii="Times New Roman" w:hAnsi="Times New Roman"/>
          <w:b/>
          <w:sz w:val="26"/>
          <w:szCs w:val="26"/>
        </w:rPr>
        <w:t>__________</w:t>
      </w:r>
    </w:p>
    <w:sectPr>
      <w:type w:val="nextPage"/>
      <w:pgSz w:orient="landscape" w:w="16838" w:h="11906"/>
      <w:pgMar w:left="1701" w:right="850" w:header="0" w:top="1134" w:footer="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493b"/>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customStyle="1">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ListParagraph">
    <w:name w:val="List Paragraph"/>
    <w:basedOn w:val="Normal"/>
    <w:uiPriority w:val="34"/>
    <w:qFormat/>
    <w:rsid w:val="00ae493b"/>
    <w:pPr>
      <w:spacing w:before="0" w:after="200"/>
      <w:ind w:left="720" w:hanging="0"/>
      <w:contextualSpacing/>
    </w:pPr>
    <w:rPr/>
  </w:style>
  <w:style w:type="paragraph" w:styleId="Style19" w:customStyle="1">
    <w:name w:val="Содержимое таблицы"/>
    <w:basedOn w:val="Normal"/>
    <w:qFormat/>
    <w:pPr>
      <w:widowControl w:val="false"/>
      <w:suppressLineNumbers/>
    </w:pPr>
    <w:rPr/>
  </w:style>
  <w:style w:type="paragraph" w:styleId="Style20" w:customStyle="1">
    <w:name w:val="Заголовок таблицы"/>
    <w:basedOn w:val="Style19"/>
    <w:qFormat/>
    <w:pPr>
      <w:jc w:val="center"/>
    </w:pPr>
    <w:rPr>
      <w:b/>
      <w:bCs/>
    </w:rPr>
  </w:style>
  <w:style w:type="paragraph" w:styleId="Western">
    <w:name w:val="western"/>
    <w:basedOn w:val="Normal"/>
    <w:qFormat/>
    <w:pPr>
      <w:spacing w:lineRule="exact" w:line="240" w:before="280" w:after="280"/>
    </w:pPr>
    <w:rPr>
      <w:rFonts w:ascii="Times New Roman" w:hAnsi="Times New Roman" w:eastAsia="Times New Roman"/>
      <w:lang w:eastAsia="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59"/>
    <w:rsid w:val="006d45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Application>LibreOffice/7.0.3.1$Windows_X86_64 LibreOffice_project/d7547858d014d4cf69878db179d326fc3483e082</Application>
  <Pages>3</Pages>
  <Words>780</Words>
  <Characters>6062</Characters>
  <CharactersWithSpaces>6888</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economy20 (Евлампьева В.И.)</dc:creator>
  <dc:description/>
  <dc:language>ru-RU</dc:language>
  <cp:lastModifiedBy/>
  <dcterms:modified xsi:type="dcterms:W3CDTF">2023-10-26T14:39:24Z</dcterms:modified>
  <cp:revision>58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