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B67" w:rsidRPr="00A11CAC" w:rsidRDefault="008B7B67" w:rsidP="008B7B67">
      <w:pPr>
        <w:pStyle w:val="8"/>
        <w:ind w:firstLine="709"/>
        <w:jc w:val="both"/>
        <w:rPr>
          <w:rFonts w:ascii="Arial" w:hAnsi="Arial" w:cs="Arial"/>
          <w:bCs w:val="0"/>
          <w:sz w:val="32"/>
          <w:szCs w:val="32"/>
        </w:rPr>
      </w:pPr>
      <w:r w:rsidRPr="00E8667F">
        <w:rPr>
          <w:noProof/>
          <w:color w:val="002060"/>
          <w:sz w:val="32"/>
          <w:szCs w:val="32"/>
        </w:rPr>
        <mc:AlternateContent>
          <mc:Choice Requires="wpg">
            <w:drawing>
              <wp:anchor distT="0" distB="0" distL="114300" distR="114300" simplePos="0" relativeHeight="251661312" behindDoc="0" locked="0" layoutInCell="1" allowOverlap="1" wp14:anchorId="34605648" wp14:editId="6EDAE344">
                <wp:simplePos x="0" y="0"/>
                <wp:positionH relativeFrom="column">
                  <wp:posOffset>2540</wp:posOffset>
                </wp:positionH>
                <wp:positionV relativeFrom="paragraph">
                  <wp:posOffset>-371084</wp:posOffset>
                </wp:positionV>
                <wp:extent cx="5985510" cy="695960"/>
                <wp:effectExtent l="0" t="0" r="0" b="27940"/>
                <wp:wrapNone/>
                <wp:docPr id="1" name="Группа 15"/>
                <wp:cNvGraphicFramePr/>
                <a:graphic xmlns:a="http://schemas.openxmlformats.org/drawingml/2006/main">
                  <a:graphicData uri="http://schemas.microsoft.com/office/word/2010/wordprocessingGroup">
                    <wpg:wgp>
                      <wpg:cNvGrpSpPr/>
                      <wpg:grpSpPr>
                        <a:xfrm>
                          <a:off x="0" y="0"/>
                          <a:ext cx="5985510" cy="695960"/>
                          <a:chOff x="359532" y="0"/>
                          <a:chExt cx="6913276" cy="920787"/>
                        </a:xfrm>
                      </wpg:grpSpPr>
                      <wps:wsp>
                        <wps:cNvPr id="3" name="Прямая соединительная линия 3">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16E0D52C-A788-4528-BD01-B0FF9EABC84D}"/>
                            </a:ext>
                          </a:extLst>
                        </wps:cNvPr>
                        <wps:cNvCnPr>
                          <a:cxnSpLocks/>
                        </wps:cNvCnPr>
                        <wps:spPr>
                          <a:xfrm flipH="1">
                            <a:off x="359532" y="920270"/>
                            <a:ext cx="6552680" cy="0"/>
                          </a:xfrm>
                          <a:prstGeom prst="line">
                            <a:avLst/>
                          </a:prstGeom>
                          <a:noFill/>
                          <a:ln w="41275" cap="flat" cmpd="sng" algn="ctr">
                            <a:gradFill flip="none" rotWithShape="1">
                              <a:gsLst>
                                <a:gs pos="69000">
                                  <a:srgbClr val="710308"/>
                                </a:gs>
                                <a:gs pos="7000">
                                  <a:srgbClr val="E00712"/>
                                </a:gs>
                              </a:gsLst>
                              <a:lin ang="0" scaled="1"/>
                              <a:tileRect/>
                            </a:gradFill>
                            <a:prstDash val="solid"/>
                            <a:bevel/>
                          </a:ln>
                          <a:effectLst/>
                        </wps:spPr>
                        <wps:bodyPr/>
                      </wps:wsp>
                      <pic:pic xmlns:pic="http://schemas.openxmlformats.org/drawingml/2006/picture">
                        <pic:nvPicPr>
                          <pic:cNvPr id="4" name="Рисунок 4">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50BAA359-0E78-49C9-8DD1-3391F587E182}"/>
                              </a:ext>
                            </a:extLst>
                          </pic:cNvPr>
                          <pic:cNvPicPr>
                            <a:picLocks noChangeAspect="1"/>
                          </pic:cNvPicPr>
                        </pic:nvPicPr>
                        <pic:blipFill rotWithShape="1">
                          <a:blip r:embed="rId9">
                            <a:extLst/>
                          </a:blip>
                          <a:srcRect l="28044" r="27944" b="22180"/>
                          <a:stretch/>
                        </pic:blipFill>
                        <pic:spPr>
                          <a:xfrm>
                            <a:off x="6439853" y="0"/>
                            <a:ext cx="832955" cy="920787"/>
                          </a:xfrm>
                          <a:prstGeom prst="rect">
                            <a:avLst/>
                          </a:prstGeom>
                          <a:effectLst>
                            <a:glow>
                              <a:srgbClr val="4F81BD">
                                <a:alpha val="56000"/>
                              </a:srgbClr>
                            </a:glow>
                          </a:effectLst>
                        </pic:spPr>
                      </pic:pic>
                    </wpg:wgp>
                  </a:graphicData>
                </a:graphic>
                <wp14:sizeRelH relativeFrom="margin">
                  <wp14:pctWidth>0</wp14:pctWidth>
                </wp14:sizeRelH>
                <wp14:sizeRelV relativeFrom="margin">
                  <wp14:pctHeight>0</wp14:pctHeight>
                </wp14:sizeRelV>
              </wp:anchor>
            </w:drawing>
          </mc:Choice>
          <mc:Fallback>
            <w:pict>
              <v:group id="Группа 15" o:spid="_x0000_s1026" style="position:absolute;margin-left:.2pt;margin-top:-29.2pt;width:471.3pt;height:54.8pt;z-index:251661312;mso-width-relative:margin;mso-height-relative:margin" coordorigin="3595" coordsize="69132,9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rtEOAQAADMJAAAOAAAAZHJzL2Uyb0RvYy54bWykVt2O4zQUvkfiHazc&#10;d5qmTdpG01kxM+2AtIIRA+LadZ3E2iS2bLedEUJi4RZpLngAeIS9AGnFsvAK6Rtxjp203ZlBoF1V&#10;Tf2Tc3zO953vuKfPbquSbLg2QtazYHASBoTXTK5Enc+Cr79a9CYBMZbWK1rKms+CO26CZ2cff3S6&#10;VSmPZCHLFdcEnNQm3apZUFir0n7fsIJX1JxIxWvYzKSuqIWpzvsrTbfgvSr7URgm/a3UK6Ul48bA&#10;6qXfDM6c/yzjzH6RZYZbUs4CiM26p3bPJT77Z6c0zTVVhWBtGPQ9oqioqOHQvatLailZa/HIVSWY&#10;lkZm9oTJqi+zTDDucoBsBuGDbK60XCuXS55uc7WHCaB9gNN7u2Wfb641ESvgLiA1rYCi5ufd97sf&#10;m7/h84oMYoRoq/IU3rzS6kZd63Yh9zPM+jbTFf5CPuTWgXu3B5ffWsJgMZ5O4ngAHDDYS6bxNGnR&#10;ZwVQhGbDeBoPo4AcbFkxb62T6WAYjRNvPY3C8WSMgfW7s/sY4j6irYJqMgfAzIcBdlNQxR0PBmFo&#10;ARvuAfsFALtv/mxe7e7J7mXzV/N781vzunnbvN79AOM3u59gjJvNm3b5ngxduQA4z41F6BAmVzDf&#10;LhbReTxfjHoLGPVG4fmodz4fTXuLaDiZR+PFRTRMvmuT7+wh/TY0JMsNL+prjY7ZbX2jnkv2wiBe&#10;72zixAChHYUkK4X6FEvhiMwjVgD3aNyyhvEirUkcR8mkpdXt7TmhqdLGXnFZERzMglLUCCNN6Qay&#10;9vR1r+ByLReiLGGdpmVNtrNgNIjGMXBOoTNkJbUwrBTUqqnzgNAyh5bDrHYuQcMrtHY5zIIauk1A&#10;tLTfCFs4/rq0ctMinhuiJFRGMg3D0PkwOl9elJpsKHSL8SAchpMW59xgUJ3F+EmDeRiOB9GRAQCx&#10;PwxSJxR7IiBlGC25U5xL1YqSfwmNyuPR5YHnITaX1BQ+ICNLsUL3NF3yDUec4ISyxgXuWl0L6oFW&#10;HC3l6s5p1nEPqjg7VYKl8G37CYweyeO/+y5Y2bUGjH3vrv6Xj4rqF2vVg9anqBVLUQp759o4wI9B&#10;1ZtrwbAecXJQ2mivtF9BUi+hOb0Fkf1BRo61TgMfrKH9oYfzfTTAhGBOQqSWFwXwyD8xCijDmkIa&#10;Okv/upu+k8oSdOWK86mCxM0WRbiYHjT2J4jwl8alZOuK19bfgpqDOuAKNoVQBuo+5dUSS0x/tvJi&#10;9iD5ksEDsWiMZlh3eDVGk3AEKMP50XiKI7gco2gAunb1ZqzmlhVdql06HqfjDoJu20sgGQ2h40OT&#10;PLTzrmdMhtE0Rl3D1hO9/FHf0BClo/pf+sa++vH4vJRbn92RmEeLyeD80vsoVUG9ouIEhexBabXv&#10;NOVdgLiOHDtSfapuCJS7dupuZm/l/0Xg1X88d28d/uuc/Q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L20TPfAAAABwEAAA8AAABkcnMvZG93bnJldi54bWxMj0FrwkAQhe+F/odl&#10;Cr3pJmqKxmxEpO1JCmqh9DZmxySY3Q3ZNYn/vtNTe3vDe7z3TbYZTSN66nztrIJ4GoEgWzhd21LB&#10;5+ltsgThA1qNjbOk4E4eNvnjQ4apdoM9UH8MpeAS61NUUIXQplL6oiKDfupasuxdXGcw8NmVUnc4&#10;cLlp5CyKXqTB2vJChS3tKiqux5tR8D7gsJ3Hr/3+etndv0/Jx9c+JqWen8btGkSgMfyF4Ref0SFn&#10;prO7We1Fo2DBOQWTZMmC7dVizq+dFSTxDGSeyf/8+Q8AAAD//wMAUEsDBAoAAAAAAAAAIQAmnDe7&#10;ZawAAGWsAAAUAAAAZHJzL21lZGlhL2ltYWdlMS5wbmeJUE5HDQoaCgAAAA1JSERSAAACcwAAAYgI&#10;BgAAACoNZkkAAAABc1JHQgCuzhzpAAAABGdBTUEAALGPC/xhBQAAAAlwSFlzAAAXEQAAFxEByibz&#10;PwAAq/pJREFUeF7svQl4XFd58J9+RL53zrlz72jGM8pIlmM7shM7TmxncRI7mx2yh2w4LEkgISEE&#10;YgzNQsPaQAlpgCYklFJClwAtfCUU/v1YWkjaQgu0ZSlksa0tkmbV7JK1e9N5/+977x1r5mo0si2v&#10;yft7nveZ0Wjuuat9fnrPdgLDMAzDMAzDMAzDMAzDMAzDMAzDMAzDMAzDMAzDMAzDMAzDMAzDMAzD&#10;MAzDMAzDMAzDMAzDMAzDMAzDMAzDMAzDMAzDMAzDMAzDMAzDMAzDMAzDMAzDMAzDMAzDMAzDMAzD&#10;MAzDMAzDMAzDMAzDMAzDMAzDMAzDMMyBoM5f4AOAP3B/PKooddsC9b0bQ+6PDMMwDMMwzGz8Njrv&#10;tFSr+C48e7LufnRUUKn5y2Kb9K6hc/ynuh8xDMMwDMMws9G51NdSkBFIBX0/Bjihwf34iAJwxpLS&#10;eTLe16KB+kWo2f2YYRiGYRiGmQ11/4KWTqlNDOoRyC7x/QDglnnur44IqnRO6+TFsjepheHVZfq4&#10;SgRb3F8xDMMwDMMws6HuD7akpZxIiCDk9MXQH5E/BHjPEcnQwTMnNGRbfT8toEh2aRLiS8SESixl&#10;mWMYhmEYhtlfSOYy0kCZE5ASISjIACQWyB8APHNYhY5ELhGWPxjWWiClh6FXD0CMZG5sAcscwzAM&#10;wzDM/qK+HWxJBMVETBjQp1soVs0wbEgYXEdCd3gydFQuitwP81oT9EoDJTICnRpK5HKUOXU/yxzD&#10;MAzDMMz+ohKrWtqX6BNxLQrdWghiWhi6UKzAMGHkHPOQCx1l/IrL5Q+GpICXGlqgSzeh125mjUD8&#10;DJ1ljmEYhmEY5kBQv1/VklgkJ+J6GOJ6EHqkDl0iAF0nLoIhGYRd58nvH6omVzsjt0T/QR/uJ66H&#10;7IhhdAoTZS4MxdPkbqXe1+p+nWEYhmEYhpkN1Ykyt7ha5qjps0u3IKkbUDIljN8x9z50tP2OlfIH&#10;I1h2WeTKsU3o0Kc1Q3qRSAN8MOBuwjAMwzAMw8yGUte6Mte0T+ZiUkK3ENCtU8asCUakBaNvk99X&#10;6mnN3eyAIJEbXCu/PxaQ8F8N5jSZi+kRyAsDOueF/svdhGEYhmEYhtkfqI+at5mVZC4uwtCnR+0m&#10;160aypwMQHql/hfuZvsNNa2OrZc/GNAD0I7S1i0su2l1SuRC0IPll2QQfvuG8K/dzRiGYRiGYZj9&#10;Qal7W2Kr5ASNJu1B4eqxR7UGq6JHtyCBEpZHoSsawUfcTWcF4JET1W3m97tp2hEspxw0arYyqPwh&#10;GYLeRo1ljmEYhmEY5kCgAQexRXJ3nz3XG8qVCNgC55W5GH6elkFb6GLN4o/dzWcERW7eyG3y+7uk&#10;rBK5mWSuKELQ1yhY5hiGYRiGYQ4ElC4Rl6IrJaLQK0xI2M2r1TLXp5sYjtDFMQp6CySWiboZuqGr&#10;5T+VLB1e0qhZtb7MUWRFEOJByTLHMAzDMAxzoPRq8/87K5rtJta0aEK58socCZdpZ9AoaGDEoGFC&#10;7zm1M3T5oPFIQW+2xa8Xy5xN5uysnx6AFMscwzAMwzDMgdOlNf46hUKVFI6sdWghfB+CnUv8sQxK&#10;Xrfm9JmL22JGo17D9uTCOVNAvq06Q/dqUDwSI0GriA6tFTqECZ0NIRgKGpCPyr6U1oQSJ7DsCGwN&#10;apDQmqG3jfvMMQzDMAzDHDAxzfovyo5RUKYsoS+GIcuA4fOM9/WcrT+wWy6CTj0EXUKDXhGEHiHx&#10;uyZkMUqGhOFbxcepnIFm4+NFaVaJHEWXHoEOPQhjMgDqPdYDheXG+1IohX1YTi+KIa08kdMXQv4M&#10;yVOTMAzDMAzz+kH9gzhr4F3iuf4N8tnxG82/VfeYfzu5xfzb4oXy8V6/fsf2hsAdcb+4o3+1uCPl&#10;RhxDbQ7cod7rxgeCd/SJQG9lk2dCGDAoItC3VD5I+ymdKh8bjUro0kzIoMB1oIT1SGln65IoY4WA&#10;hOLp8mdFmp9Op+xdtczFTAlDUQF7bvM/RuUVLxb/NyNCdhNsH8phN75261jGGtmr/jBwx+jdeIx3&#10;Bu/Ye2Pgjt71uh1FOvZmccerAs9L99/R26zfseda6/HJ95t/O3aP/NvSnfJvkxfrz2avE8+pn61e&#10;SvthGIZhGIY5plH/EzQz14p/3CXDKF8hyOsBe1RoSW+FkjQgj3KV0ZpgUAaqYsQy9sVYwNjXvEpB&#10;7ylbNoQyl2wSH3Z3dULPyb7HR2ngA5a/XYtAL5bdh0FNsr16E5RI/lDIaMH+SpGjEbIjKHNj1/kf&#10;d4s6YeBNxo9pwEOvbuL38TsBgeVIe98jIZQ6lMMhE4+P1oeV+JlhwQCdjyGhgFFC4RzEcy4KOu+o&#10;fawplMi9RgQKN4l/VOrbPndXDMMwDMMwxz67Lvc/M4CSQzK1XQiUqPoDDkjWKqNPmFVhD3BASXpV&#10;mA+7u7DpbZaP7UK56kNxiqPU0RJcfShZ9pQmdrlO0Hx1vShcBZS9ITyu1KWanZErs+tq80dZPQLt&#10;WgC67GOsyOK5ZVQHid9UxGjkq2jC92HoxPN9sSEIYwZK5L3znnF3wTAMwzAMc3wRv9z31QkjADFa&#10;wcEWpIOXuXbNhAkZhQ7dqJI5oi8iPzsgItCDQhVDUeslodtXrhPbG1qhSyPBQpFb7duXkSszeLnx&#10;oxzKWA8eW5e9CsSByRyJHElgN+6joyEM4zIE6jaTRY5hGIZhmOObvrN9zwyj6MxV5miR/VEsp1uX&#10;D7hFV7Frk//HGc3JvvXpESyjWr6ojAGUvZFT5Z+6m1SRvsRny1wC901Cd6AyR8dMIhfXdciFBEze&#10;4GeRYxiGYRjmtUFmje+rc5U56juX0MKQNswn3GKrUOoJ3863iOdH8bsdNWSuJFohu0BOy8iV6blA&#10;t2UuJUK4r/A+idtfmaOm1a6GiC1yQ9fIr7rFMgzDMAzDvDaIheUzBRGgZlKgudwcSQvsi20aCZtB&#10;o1YnUnZfOxQ3mm4ExawoLRiNSICwhME7xS/cIqcB8Ig+eZvxfAblqkeL2BMEv2jokMN99Z88s8gR&#10;hXXi5xAWMGqZkMJ9xzWSTBNfm2CoGY/LEBO9prD77nVqUft3JHU9+ErRIYIwagQhcbaPM3IMwzAM&#10;w7w2yYTlV3fKMHRoUxJXjrgIw7BlgLo/+MzE7WZbR6ThzFcaAqs6MdRm//XqS+b71KcD74OnjAvd&#10;4mqi1P2+4XP9zw+LKLSjkO2UASicJf/G/fWMqG+2XKO+YL4PHp3/nh0rzXOcfYdXJQPyTLXFPCV/&#10;nXwmHXT649EUKCRyJHQ0t10cYwCPP9XGGTmGYRiGYV7jpJp9fzVMU4h4ZK4jrEMnyldukdipPh94&#10;h/v1g4IydK+unfcCGCYUNhkv0Fqv7q8OCvVg4I68lDt78Pi6tTBkUEgpG0cil8Zjz8kg9LXpnJFj&#10;GIZhGOa1D8BzbxhdJ3/VTZmtCpmjueK6gjq81BCEXMhQr56tr3c3OSgAVhjqY/4/QZEz3I8OCvVw&#10;YPNgWEJMC0JSa4a4vb6rI3OUkSORK8ogZ+QYhmEYhnn9APC+xp03Gr8eQxHq0gX0aDQVSNCeq608&#10;QCLr8w2llxlzErq5op4IvH+gxYDtJ7ZCL/XjkxJ6UDxpKbBuU4Mx/DnV7GORYxiGYRjm9YdSdwcz&#10;F4pfD9JaqFqzI3IVMlcQAvrD+o7UFf517iZHFPWZwPsKS3TobaDRtTSitRUlzoRO3YD2hmYYNUxI&#10;tIq/c7/OMAzDMAzz+gPgjMb8WeLXJXuS3imRo+jWA5ARYRhYIIZ2v6XxiGbo0muNi4aiBnSf2AQx&#10;SeFk5Ejk4nhcg3oL7LzE+vVcm3AZhmEYhmGOe9SO84NDq+VvelGSqmROhOy1UXMoeqkm31DpziOT&#10;oetera/rbdJ20IoO3bZUhqBda7abVjsbmqFkSJg4T/6aMovuJgzDMAzDMK9vIH5h48AK+eui3oQC&#10;p0GfvdYqTSzsBK2rOtokd6hnmg+r0MXONtbnRXBHkubB0w07nHnkDOjSaOLhCGQv1H4N8KeN7iYM&#10;wzAMwzAMof5qQTC1WPxmQA9DSl9YJXMUKa0JUq36kHq88bAInbqhcV1fRB9Kozh2uyLnnUcus0r7&#10;jdqxgDNyDMMwDMMwtSChSzY7GTqvzPWSTIkgpJfqO9S3T77A3eSQMHSnf91QSO6I0zJe2kKgpcP2&#10;zSMnafqRAJRWUdPqChY5hmEYhmGYeuy42wwmguI/e/WgqpS5BA1AwEihZA0tFTvUX1gb3E3mxJ67&#10;rA1dS7QdOSmglzKCGokkyZzhziMXoHnkfs4ixzAMwzAMs5+oDwYujonAJK2tui/0xRgR6BJBKDQs&#10;gsJNYhvAI/PcTQ4K2r50gdw2iuWSuMVpkX0aeCFI5ATuLwgl2bRHbbHWuJswDMMwDMMw9Uiv1xem&#10;TLGtSuQwaMH9HhSuJE1ZcrmWUj8Or3I3mRPqifCqzEqZTtgZOZoQOGALXQKlkRb8T+phSCzwbYWH&#10;9YXuJgzDMAzDMEwtBi7QTy6JYFdRX1QlchS9Bk3gG4Chs1Hk+pcudzc5JKjvBZcPNhupDK3ygDJH&#10;GbptGr43BUqkBWm9GdKniy71scDJ7iYMwzAMwxzPwC0nvMF9e0wAcMsxdTwHA3wgurDnJL0rpy2G&#10;XktMk7m83go9q+el1f+efEhFrszOdxgkdOm41oT7M22RixsCOqQOKXv/zRBfqXXBz1cc9xk6Wh/X&#10;fXtMAHDC/3HfMgzDMMyRQW1p08avML6kPuwPuR8dNQoXij9KXed7k/vjcQk83LiwJANdOcNCkbKg&#10;VzegVxr2KhAdKFYF0QyllTKlnj/psIhcmdhtxopCq5FKBnV7AAQFTWbcZ69QEYGsCMGupRKFbslx&#10;LXTxNv+bSm8x/sj98ajxq2Z/qHSj+KJSbZr7EcMwDMMcOTobtUzsNPFrpc6U7kdHnNLZxnsnWiSk&#10;TvVd73503AEfaFyYaBa2yGWkM6cbyVxSa4WEkJAWAkqLZVr900kr3E0OK8VNxoqsbEzbGUGUOGp2&#10;7cHjiOHxJPUmyGgRGDlToNBFj1uh+995oevHAiZM3GW81/3oiKO+0SRTUfHr/uUy7X7EMAzDMEeW&#10;RET+fhdV8iu0nwFccsTX6By7ybh3VEoo6WFQF5hXuh8fV8D3VyzMrpRdOT1oZ+Ts5k1hQC9Gn94C&#10;Wfx8oMlIF+81jojIlYmtNVakLZnOiAgKXdTO0LUbOh6bcIQOj230XBS68eOzybVda7wyrzXDSEjC&#10;xEeMe92PjxjwXNhoD8/7j514bTMr5e/cjxmGYRjmyNK/wvdiQg9ByZSQO0P+TKnPH7EMXeEjvntL&#10;QYnyI2A4aMDofeIq91fHDbD17IWFk82unNYC3SRwdpOmK3IYRRSmARNF7rYjK3JlYisoQxdJJbUl&#10;0KM1QZelQ5dOTcC0dmwTFEUQRjeg0MHZx53Q5U4xr8rhNU6i0I23GKD+1jxiQqcyl8vs6eJnA3j9&#10;ujQD8mvk791fMQzDMMyRpX+NfDGhhe1VAvpECEbPFj8DuO+wZ+jUfea9gxatFRpFyQhCoUWCesw8&#10;rmSORG5HxOzKyBB04zWkFRfS1FcO5bRTs6Aoo1CMyPTwu46OyJVRH/Sf179MqjSKT5emAy3vlRBh&#10;SOqt8LIWgIIegPGzzS6lvh12Nzku2HEhypy0oBPFlKZioffqk4df6GDrCiO1QvsZiXCnJiErohBf&#10;62OZYxiGYY4OlTIXxwp+QI/CzvXiP5R68LBl6NTnzHuLQQkJrIT7UH5ILkoRlLkPHz8yp9QVral1&#10;eldWtEBCGtBrChQkE1I6Sl1It18zpkz3nTdvToMdMrfLyND1vmfUi2dG3I8OCvUV862FpSR0dN0t&#10;iOkhiONxx/UmPO4I5EUzZNvkDwEeOW5GZI5eZl6VxeeHjj9GcorXv7BYgLozeLn7lUMOZa4HTzH/&#10;o6AtQhGmKWAM6NMiMHSBwTLHMAzDHB0yHpl7STOhaEjIbqQm10MvdOpx897UUgHbsALskgK6cL/U&#10;l2uQZO6h40PmqEmytEF2FQwB3VqTfe1iNJcbvnZrIcjqzZDwifaxNaFmd5ODQg1dFkouF7/dJQNQ&#10;uFj+VqnNcxp1rP4lemWuVQym7Wsegh68z51aEGKS5C4MBa0ZMvPF9+C5Y2vKmpkYvca8qoDXJoXP&#10;bR8efwz/KOjF+1EUZrH3Qt957tcOGSRyheXiZ0Movt20T1klc1vdrzEMwzDMkSW9ylclc700J5m2&#10;GIZlECbuOLR96NQXrHtGWg0s34TOgEChaIEXGyKwrcGCYerz9LnGY17mAK6bn71CdGWEhC48jw5L&#10;B1pvlZbo2q4ZkKTBHIYFkxdbf/qKrq+LSXnZ3of9D8Kf+j85+SDGZuuTEx+Sn1SPhW5zi6yJGjo3&#10;VDrX+C0Nqvg9XqNh3EfqGu03Sn24rtAN3Cdvg3dYn5zc4v8kfBD3dz/u62PmHydbxNX/eULTeUMX&#10;yWdSlkTpjEKvCEKiiSRU4nsSvDDkUfAyIfHd4yFDt+Mm86oRA2VUhKBdC0ACZW4bnldaj0IuJAd6&#10;Vplr3a/OGfrDZuda+bOCwOcX/510o/h2SwO6dKeZNXOu/H/uVxmGYRjmyJK/Wr4Yw4oppTfbfb6m&#10;FoWnRdpNiJ2uP+t+dU4Mvdm/rhShReBpSSvqfO9El65DD1bAJHnqu8e2zJHgDBiRH+VRdOMoQs71&#10;qh8DWOFXRlFEYNKIQOFG+T9usdNQQzeGSuvkb/tQFCoX6e9EYYHb/b9V6v4ZF8tPbpj3i90olKMo&#10;OcO4P5KPIu3XjW63LBoAQdGHklgZ2zULRmUESsuPfaFTH268atiigSYmdOP96KbnFV/L0ecLDuy+&#10;3T/nDB2J3Mg68bOBiutWDhpMMiEtlMjAF9yvMwzDMMyRZexy/4txexBCyB6NOSUPjoxQZqi9TXvC&#10;/fpB0bnCtzbrkwMpg5aVmhI5it4ADRYwIEN9nb517MociU0+LL9HIpfGiKH4OBPxThe4yqDvVIcF&#10;WWrO3Ci+6RZdBYla4WLjt8MyhGK1CMso3w+SxyCMyzB0nal9z/36NOIX+X5UQpFJiSZIipA9x1xl&#10;lMsqy4hX5qi5lX4/JKKQP11+71gWuj0fNuvKHEVhsW9g99sPPkNHIjd2i/HTIjWp2/d86tpR0D5H&#10;JV0760vuJgzDMAxzZBk823gla89BJrFCIpmrlpG4FrQzSr1LxZPuJgdEYqm5Nuf3lRIoMJ1Ynlfm&#10;EtQBHyVjYJkE9Q/zr3E3O6Ygoelq1r47iMdKGTkSOe91mjkiVUFZ0AHDgHYx7yG3+H1Qn7iJN8rf&#10;joiI3feuu0K+9oUUUEKh626d99fuZlWkL5E/SlN/RLynvbi/Lk94ZcQrc1u1gJ0ppX2NoBBmVxy7&#10;GToa/TybzFEXgsJCX0ndfeBCB/Cehl23yJ8V8Jr34r+DDlvGq69fL+5zQFgozixzDMMwzFGid5H2&#10;9wMyCnFT2qMbvTLSRZ35sdKi+bQKq8QBZejG7vGdW5RiIK0Je3Qn9cvyylwMBTIlQjToYkxtMU9x&#10;Nz1msDNyzfJ7o5LmkUPRwWuyPxm5cnjPlwQrg9eya17oYXcXNkpl5AiK3LCIwlZajB/F0SnDI3P4&#10;2e81C/IyAgXTnCZ0Y5eZPyqiBFL/N5Jkb2bOKyNemcuiuJDQUYaOmlwH8FzHN8pjUujU0/WbWSm6&#10;8Xqn8RxKJ4kB9cxJ57qb7helk4w/ByMC7Q1LsBwL99Ey/frhPqkpu18EWeYYhmGYo0OHEE8Nokyl&#10;sEK0Vy7ACr8yqkUkAIVL9k/oxt5urs01i9I+UbArPiwD31OUP6dyqcN6Ug8PvXDC0V8jthISmMyp&#10;4nsTBkkBDdygdU5poMBUdFHGRkNJokEkKL40Sne71gQdeO3s/mkV50oRR0HK4HYxvalK5jLN5jco&#10;4+YVuE4h7GwezccX03UMuidTsaNV/pVbhM3EbeaP0ljGy3hMPSYNMnGEsldDEWkIo5AIPDZpDxgg&#10;WXNWqqBzCdjnksCfnefAkRWaWHgMj6twuXbMCZ16FmUuiMev0fHTsyXsa2xnTt2g+efo56wMoQCH&#10;S+rvQvsldK82aU8Oi9Z95cwUXXi/S8KC0pkGyxzDMAxzdMAK8EsDKHOUIZtN5igGBVb459RvclUf&#10;NdeWgmKgDyvZfRUfbmsLAr6vlLk0ygJNGtxh6sOvSjmnudQOJfCMMb/vwnn/CRJFAMUnh6JQ1CNQ&#10;kEZVZMMSsiEJNG/eIIrFIL4fiGC0SBhaSE3XU+dKsd3SYZxGjJrGh91dnbC9Rf/rgr3k1vRMXBdN&#10;tSFNvE6tkKb7ZN+TqRixDEiukfsydIVNxr9k8T52omTQovp0X3twv12mDsN4rIVWjGY8XnxPx0zz&#10;+5XwmEsWjcKVkMfP8gEMKfGcTUji/pPSAjBNyN6K1yMdne/u6qhDA2a8MkfiVilzlFGjV8r+ktAN&#10;NIsB9YNg3SbX3kXakyN4zva0IxVl1YqyzBVXsswxDMMwR4l+w/hSCSs6yjw5febqy1xSR2nBim5s&#10;k1kzQ6eeCZ1biIqBjB6ADvy+V068lSFlf2gx+G7dPKZkTj0fOEN90no6vlrcQWuA9mrhK1/B19JZ&#10;ph25s4QdpbeLK9XmxivVJ8JXqk+ZV6ovYPwtxv+Hn/1q0ZW9utVZdb54rUsiDPFVvj+k/fSdrP/V&#10;hIzg587ISO/16m3RYdfl/uf6DCdb5pU5GjwySGLZ5mTo8heL7+SxrB67L2LU7pMYQyFLrBWd6gen&#10;OMf1dYwvYHwUjxNjz7vNK0dvEFfuuNQ5p/QpGKa4MiFM57zfgOf4nuDH1UfE0+o3gTNoP8cC6u/m&#10;X1srM1cZlHGksK8d/lxAQc2t8g2oXy6omaHLnCOeGMHr2aFRlnTxtPK8QTJXxFeWOYZhGOaokff7&#10;v1REwWjXaK6xKpkbqiVzPSgKnQ0mFAIC1E3VQkciV2rzlfJSoKBFIaVTp/9qOekT1kivCEyWK0Pq&#10;m9Vj4PfDvmF1e9MxI3OHil5h/Xdl5d8nacoQCXs3Bj6YOM/32C5p2hm5mKR+bo6wlYMkRP2h+V4q&#10;Z+9G4705vObTZM6+xhIKlgR1rfWnO0+xHiqQwOG+SJJj9uoOLfDqcu2/7QN6DaEeW9M20miMUdN0&#10;pcw5z5d/hN6XZY4ydNTkSk3isYYwlC70lbxCl1yLIofSnMZ78iKW105CR/fMDRqJ3KNb+55dCpI+&#10;yszlVwqWOYZhGObokGoVXyzIiD3PHFWGSazIctTXSlrfyC433zuAP2dRuLrsZaCog7nTjEVB/bH2&#10;3OMInfqP085KnKYNUKVaIYRY4ZGARGBMNEHKFP9ZXGy8OSHlJMkKrWNKzV+9eitkmsQw/NBqtA/q&#10;NUS7Fvh1TqfBEyakghXNrr5AgV7jeB0qoxevGTV3500UvjvN+9xibFKXavfl8H7QPeqkTB6KidPH&#10;riK0xlylEMbxGtOAi1RY/tot5jXD351wgtmrNw6VByNQ0HP8akDsVZ9uvLdr7bxMz4mLUcpompYI&#10;Pr+t9jNLQdPLjJnhPPyZ02w8cZHxxChKdnmgCK0oQUFLn/XhdR7A78P91ieH18tOWmWC/rBBUbfv&#10;FU3onL1WfNE+KIZhGIbZX1Ti/uDAusANvz8xur6bVhpYqK8bv8a/bugi/zp1A8adGA80rlOfxte/&#10;wNf/L7xO/XIhxqkYF62DR5bNz51wgoGC8UxWUKUVQYET0N2wELLSQNGKPkf7KTQaH6ZmwZgeRQmJ&#10;VskcBc3Arx60/r5nlZamJr0qkcPYpgVRJgTEW32/h0fCRneDdRaNjqV1NHto9QT8PU33kRRyZOJy&#10;azHgMannF5yhfkfHicf7H3jcf4bH/zEMesVzGr/dv66E56quwPM91b+uHc+fVlvoP0lcDf/31Evt&#10;C3SM0KHJX+VpRDBKK00rsk/m3PDKXEoYMGygIFxeLXJl+tuM+wokaCgXPVRmWeL2xZTIHcsyB39i&#10;nZ3Vmt/YfmLzuhjeu9wp/nXj+OzSM6zw/jrPrhv0/P4Qn4V/a16nXjlnnXo+cgY9uy9q1mKUuZFK&#10;mduuByDVpENug1ilOlaeOXqWHMris92Oz2avu1oHPbf0SkK3zdD/bfjSwJMDloQuul74zFbKXAY/&#10;G0IJj63V7alkChcasUqZo9Uz8vh871rvf2YrHhM8YMxX7Xi8dKz0/NKxl+OZxnWlDfjM0nOLMY6R&#10;8/vXdev+dT85Ibo+u1heDn2X6PYFYhiGYV770H/6vWeLv6BsQlIjKTCAlmkqmBgBjAhGVEIuZEA+&#10;gtFiQHEhvi6WUFomod2vDWyfp2XjwhxzKjgDekwdYigcI1j5d2sLbJkjepeIj+fw8xiN2HQrw3Js&#10;1XA/Et+TSKDseWWupLdCMuzb3r/JCFNZBRnaSNmMGFW6KDl9+ErS0aMHVcwn8x2alY03Cxhow/Na&#10;qkN2qYBB04BBFJxss4SRAIqmJSCBFXMpLFE6BZ5/M+REExQWGRn19Pw19kEfAwDAH/T6xW/TKAX2&#10;Umn2NaovcwOGhMTlWk2RK9PVpt03gSKSsK9dpchRHB8yp94ZOLNgGf15POYURhqfP3udVUNABu9v&#10;LiLs5zdDg0rw+c3gvR9aYgAKDxSpn5zPyPb4RJ6em0qZo+dwBP9NFNZaG+39/PuS9dmz9CEaaGNn&#10;ifGal4MydHl8FjN4b9ppSTPcrixx5aCRvMkzxUeoLIBnGooXGInuBhpZ7Mhcpy5RqknSg2O9mpbt&#10;C2gDxaUSsq0CxtoM+xmtjIKB51kR9EdNB/5BM0nP93Xiz2Hrinm0L4ZhGOZ1xI4W888GDRKjEAoY&#10;dQYnaQjZlRVV5Am9BXq0JmjXQvBygzMJcK9moZi14PtW6LM7ept2Vo4yZdS/KKkvhJ4m/SeVU1Hs&#10;vkN+ZycKBAlDVYVoaLhvFDYRstclrRQ5ynSMLZLD6gVrn2D99wnhC6mvV1LiseK+aO62Ljpm6q9H&#10;FSpWoCQ9/9tAffik3Ty5DUV1Gx4zVXrOygYoR/Y+UDppO5S5QtTfO3G7tdjdzTGBUvdE++fLkc4G&#10;Z76zOAkCnm89mSucZdQVuTKJxb7NI3gd6N7NJnNZlLnMMdjM2nGmthifm17KkCVQiLZLDZ9L6gNI&#10;99bp55ZBCevG56MT43/xOlJWl2SqgNJHa6JWihxFEq9xXpowsdHa4O7mBPWXxvpYq2840bAEnyOn&#10;qwD9AUMy14XPTwrLSeIz3IfPpFfm4k1i36hjpZ7WBtcZicrMHE0Z04P/7rrwOJN6G3Q2YDm4XcKW&#10;d5RE/EOrMmIof5XxMj7XWfwjbOBy48/c3TAMwzCvR+Kn+D43JJvsZrxeqduvcVoKCissb2XXhxX7&#10;vsBKs9ysVA5qNqLRj4VzZYoqL3cX9pxro/fI745KCyuvCFaEEci6IyzLQeXHUepIsFJBDfLrfUPq&#10;78Pr3SJsdt3sfwetGUoVXi91RsdtqoPmRZsK7/E7y03h57iPHmriQhFIBWXPxMPWIncXxwxKvXtB&#10;fKXYSWLSg9eWRqzSoITK6EMpoezUAE2Fscy3XyJXZuxu+dfD1FR4IjWD08S5zrWpjAReowQKcbvU&#10;jsk+c4PnWYt6pN6To2yrLfPuseO1IekqT2VTjso/JGwpw2eiMvIiYk/lkpFyn8wR6kljffJM3xA1&#10;eXfiHwcdOv47sfc19fzagc8VNdUO4B8NA0HDzsiVoX8P8ZNFIo5iSZnlLkHz/lU+u1PP6bRy3Yjh&#10;PaK5/kgIaV3icco2bzQ/5+6CYRiGeT0Tj/o+NyqbobshAl0aVuyU4aiRuaiSOQzvck+UraDsSP58&#10;maiUOYKEbmST+O6I3oQVL01I62THKqMd9x1vWAT9bb5h9ZtqkSPUHzY+OhSmgQAmJLEMmliXogvL&#10;ophN5qgCpolsk/ZEwxEYloFXJ9567IkcodS9LYmVYoIyoTPJHGWSaBBIz4IDE7kye24znx0zqb9X&#10;iz2gpCxx5aB9FPD1VS18zA6AUH9unjO0yNidwvvbYU8z4hx3CmM2maMBNxS09BkFrTSSoWytR+YI&#10;9ZnG9YOWHKZJlWnJMnv0q/1MVQR+DiEThk6Tj7qb7cOWuVaZoMmh6Y8KGhTURwJdEVPPae0gkeuy&#10;NJS5KOyiNV3P9LHIMQzDMFNkWuTnMwFq6qQpE6iSq7UWZ3V4M3M9+iJIaE2QW69NkznCztBtkP84&#10;TDKH0uatrBJYycWXaUPwZ40XuptUsfMB45HBCFZoKDgJe0WD6szGbDJHGTkSuayIQDogXm0/Tzvi&#10;Ipe5RFuUWm28z/1xRpR656wyN2kZkNno+xN3k4Ni8i75tyR03UY521QZC2HAsGBbQ+i/3K/PCPUJ&#10;m7jD97jaElzgfnTEoDnjSouN3fYkvxR4bUjWZpM5b2aunswRu29svDC72DdEQmc3deM25aBm/3EZ&#10;htF3iH+stdoF/XvILpIJavpN472M4b8B2qYyKsurFdQ3tUs3YZdpQt8Z8vNu0QzDMAwzRfYK+aOc&#10;pAxZCDqEiRVMtQzZ/ZGwIqL31KetJI2qGKKBBCSC5+ujWKHVHFlHFd2u6+R3RwxqFpuqqLqxMou3&#10;+obVX07PyJXJb/Z9Fgzcj74EaH67opRVQc1s9WSOmlYpm5UOilLfqiMvcuozRrjQ7HuFJvrtatM/&#10;4X5cE1Vc1ZKsI3MkLup95rM0UMLd5KDZc4X5LDW5UlarUuYoW9WjBSDXKnrxvhnu16eBvztx5K3y&#10;+3stCUPnipfU706yB6wcSdQPA9f2y+Bu6s9G14b6t80kc3RudK7e57fczJoW4gq32GkM32ysz5py&#10;mJpcK0WrE6+T2mzOuGwZ/XsotolRynQWUeRSAR0G8ZmtDJrLrrJMbySFBYP4/PZFOCPHMAzDzABW&#10;OEK9zfz3IazU2nVasJ2WdKIshMDKUHeWeRLBPbvWmS+oT4Y+vesB40m1ufHJ0ibxZPpq8eT4jcaT&#10;hTeKJ/MbxR9TBe8WOw2AW94wtFz+I60eYTd7ijDEw2IYnqmdkSuz51PmlZNnmU/GrtCenHyT+WQG&#10;X9VtgScnP4jH8YD8nLo3+OVc1Njd3dCCZdIIRJIgE7qo3xdV8A0G5Nbqu9XfNF7tFnnEUP0XhocM&#10;/4tpFEqKUcOExOni4+6vp6F+v6olPl9OxN3maxrgQAM6evG+lLDiV3cGnnW/ekhIX60/OxGizI+A&#10;dhRHJ7sl8ZpFoO9MfY9Sd7a6X50GXG89NxQU8HJDAAb0RVBY7/u9UluOvNB9yn9tvyl2JwwBnXYz&#10;JspRVaCoNcvd6lHry7s2m5+bfMB8cvwtxpMDF+Nze7N48tX12pMTC4wnE6eYbW6RNRl/o3Fh3NKH&#10;aUANDWIYxXOfvNH/jwDPvcH9yjTgp4+cmMV/FwMbxZPDGPSawX8raov55J77jCfUw42Pqtsa0/Yf&#10;HZJGuNJ8jQaKKc3hGLZFb4L6nLb6OCPHMAzD1Eep+3256/R/H6BMQUMrdKI8bAtoduWS1FuAFm5P&#10;S5lOnyLOcjc5KCiDkY3K746jOA40+obVmxpnzMjtL71+7ZsZaSjKzlBzFIkcLTZPWT+aA2/gVKzI&#10;/zpwrfv1I4bqbwv3n+97KWv3S6MBHAbQexq8kF0pamboVOL8aTLXi+c0EpIwcpM8pCJXZmS9fHbQ&#10;kLg/Z27AlH28YciuEhPUh8/9WhUdbfonaN1Zmh7EHtmMcjOC2xXW+V5SatORF7qPzr92R1TuTuO9&#10;ny5zIRThiIot833T/fpB07FMX1/0i+ExacLARjljRm5/UY/Pv6cQNsZpRHnMdJ5ZuvYxC6UOry2t&#10;a/zqgvrrGjMMwzDMPkjo8uf6/i2HFWAPyhwJHWXoeg3q9E0rLxiQM+TO9M3iSneTg4IydIXV8tn4&#10;2pmbtfYHgEv0ZIv8yYC+0JlmBWWJKkDKyFGlmMX3w1Fjl3pq/nXuJkcMpd4Vzlzh+31J0oAParqk&#10;ZkCqqC1I4ys1r2VrZOhU4tqWeFhUydyQDEN+o/ya+5XDQvpU+TVaYqpP6vaAlG4tBIWVEmXu/mky&#10;tyNofpzOq1dbhM8IXfcgJPEZIaEb1BehqMp/cb96RFEf8F+XiIhd02UuCh34bNA1z58pafqcOU2y&#10;2xUWV6g3ymfrZeT2B7UxeNMoZUXxWifwOtLUO/aasCifNEI2rxmw82b/v7lfZxiGYZj9Q6knfKWV&#10;xr9nsRKk+a+oqafDlhHqjxaAhBaGwkly1+hbzDkJ3VwBOFkvrBLP29OeBGhQhFMR9qDIUdNqb8NC&#10;ErndO+/xH/GMHMDDVmGD76W03efNmQMtRk3LVEnb8kOjagNQwmuszjWrhE79ZbBK5mhgys4rDk9G&#10;zsvAYvnsCB0nygUJWs8yHWVuU5XM9a7UP0GLxFNGjp6JhP3qjDCmqU6o32VGb4aOBb6vu5scUfZs&#10;8l+LAre7Uua2o2QmhDPP2whd82usOQvdXElfIK7MG3KiB8W5LyAgI2mkNj0jJmzXm2AIxXp0k/h3&#10;+vfobsIwDMMw+w9WdCJ3lv7voyIK3VK3++1QVqm8ADmtTlCUcueO28w5ZdYOFhK51Jm+nxTszug0&#10;sz6Nco1AigYL2M2FUchGxW71mP+IZ+SIASP4XE6G3AEL1Anfafoth73gPR4rvVJfqdFLjH1Cp+4P&#10;tmCFPpHWmmBQBiG/0jisGTkvHcu1r42IFrznKGVL5IRKrNonc53N+sepE395YEmtzvoUJE+jMgyx&#10;U31H9NjLDFzhv65gGLu7tWZbjpyssjPp73bNsCV65DzjqAldPCquyElrZwKfU5o3sVvDPz5I9Gmi&#10;Y7zuA/gHwNBVxr/Tv0N3E4ZhGIY5cJQ63xdvNf59WFBGjsSDRj06MterY4XeEIHR+eZO9Xj4iGbo&#10;qALOXOD7yW4ZsWf4p+MikbMFAyvGGIpEKqzvLm0SRzwjRySafF8nkUvbWRa6XlRRe2SORM6VOYpi&#10;QMDwqoAtdPCQOKlgyp1F/Dx9+pHJyHmJzfc9uxP3H18sdkLu3JPos85F+sfHaLJl4YxGridzcerA&#10;r0VgJGjQpMZHReheXSuu7RfB3Xm9yb4H9pQkGPRKi+gXgwJ23XTkhW707eaVJHLO82Hafyy1U/9O&#10;oaHImVDCaxxfr3NGjmEYhjk0QPpsUUShy6Kc0CS1VFFTponmltuGIkXTlGSXiZ1qS/CIZOio4t15&#10;sfGTkr4Ej4MmIablu+jYXJHDSrvfMHYP3Xh0MnL5042vDeNxUUauPBWGPZeYV+ZciSsHDTIZNw1a&#10;QeNBPMd5A7T+Zqvv791ijwooF3/fs1gDOp72Zv3BUeojh8feUSFtMwat16vr0IPPyLCIwODGI5td&#10;LNPTJq7LichOysrR/aCBJHRPOqWA7Zqwl/3a6wjdEcmA7bjKvCIVlHZGzhY5AyWO5vkTBiRkAEZo&#10;mpTzfJyRYxiGYQ4tlKHLG2Fb6CgLRk2uHZYONAFqn6QO+hZko3Kn+sLh7UNHk6/uOtf/k5Joga0N&#10;EXvkX0oshF5ahsyg5cSitsjlLzlKIneJ72tjMgo90hFeOyNnZzFnlzl7+hEdK3JpQmmF8fWeNXOb&#10;EPhQsfNm+VelVfJrCUF9zkx7pHAPrVpQKW41ootWEkGhowzd1oYoDOB5jd1hHhWhU7dEbh80QnZW&#10;juagswd34D2hqUVoEulB0QoDFxrPuV8/bKi3N15JIlfQ2pymVanbIkfPB03WPYzPdW65jzNyDMMw&#10;zOEBHomKWNj304K20B0p6mQ4qIJModD1NrRA5gxtQn3v8GToKCM3cof88RAKHM1512FqkESZpCZf&#10;u/lMD+NxmLvzbUdH5PZcaHyNmkqp2ZcWYS8vF1UOulbVUS0/JHPloMpdvc36I7foo0rmjb5P75RT&#10;y03RIvAUzqL2UzH1++rvlaNb12E4KmDn7Yd3RO5MqD8OPLLTQMFGiaLpV7z3IyOaIHGS/Iz79UPO&#10;6EPiioElciKG/05I2u3+ezr+IYLvE9pSKEgJo63i3ykT7m7CMAzDMIceErpkWPznIFZEdiWIUhcX&#10;jtDRPGNpPQpDZ8sJ9f1DK3QocieO3278JKfR+ptYIeP+7H57KE0dDSFIalGgPkip08VREbmRzfLr&#10;g9LEypmmcqH+ZCQMBy9zFKMGxo1TgyKOBqnzxMdHpbPqhFfSDlTm6F69jPdvCKUl2SLvd3dxRIGH&#10;Gz850ULLutW4H0EdxvGap5rlY+7XDxnqc0Fb5DImDczBa2NnOKmPpwF92iKg0cNDp4l/owy4uwnD&#10;MAzDHD5g/AMLd54nUwmUOBI5EjqqDGnx8e1aEApYsadOE0Oxi7TF7iZzpusM8QRl5EjgEigDtiBp&#10;LXalSOtqDrZKmLgtcFALzs+Vydv8z+zEY+o6scUWuU6D5uUj2ZybzGXw2tIkwWpT4GPuro4oO043&#10;PlayJB7LQuiS0+XsQGWuD69NRlrOwAMsd/sZ2lG5X+pW8xGaFNt7P2iOtxc1CwbwuudW+A5Zhk59&#10;o/GqIoocZa7pOXCmb2m2+5p2mzruF69LUPwrfD/KGTmGYRjmyKHUZcuSwhxxMnI0/5yJFXYUOmkQ&#10;AlZSaS0E21r0PvjtGy13k4Mm02Y8TM187VrEzcjRKFATxYmmnAjCsBGAXe8wn3K/fkTpWaZtHjJp&#10;XU0MalqlKTtQOvts8TwwmaO+iGWRo/e0HmsW5WdABkDdHjyiGbrERfrH8yE8F82w7ysd33Q5OzCZ&#10;owmFKRvVgddqO97LtKXDwFq52d3lEWX0OvGU9350CQkdlIHUBIBpQPJ2/WH36weN+mnbguxKqXIi&#10;4mRs8bklkYtpS6FLMyGF1yG7SGYAnmlwN2EYhmGYI8PYevFErx7YQ9JRDprBnjIbdt8fjIGrxId/&#10;+8wJc66kUreI1clFencRpaZHX2j3N+qjCtEWBpq4NgSDRuQV9e0zTnU3OSL0Nxv35fGYkpQhpM7+&#10;eDy1w5EFGv1bjpgtQ9Xf68XvVMa+CW/xdzTgZO+7jCOSoRtdZXxsCCVy+vHVDxpFXBne31eKE8V2&#10;bSEM4vWbeLt5RDN06r3+U/PN4pXK+0FB3QS2WwKKKNHp1Xo3fEmsdjc5aOCRE058MTzvoQIKf7vW&#10;ivsgWW+FTvz3EUfBo2xgIqjvVZutp91NGIZhGObwk71OfJnmDqsUOUesFuFrGCtoAfmz5Afcrx8S&#10;4PHGhcNB2ZVHqckImr+MhMiZ+46mJCnIMKSWaSn1/EnL3U0OKwMXyc0kclkUSepPRhk5r/xMhSMv&#10;0+Wh+nv1ZI6iZEjYe1f1ShGHmuIq6iNHa6xS07n3+OrHgcpcn94EtFRcepEO6nbziGTo1DuM5T0L&#10;56UKKFLe+7ENn6kiitaONtEFv40udDc5JCTWiT8aMSw7Q9uNz0pMpwmZI5AU+NziZxOGAXv+0P9l&#10;9+sMwzAMc/gYvVx+eciS0KVJrJCqZY76zlF/ufgS3wfdrx9Sxq8JnNwX0btzFolTM9DUErTfOMoc&#10;veZQDnJnipTqO7xCN/YO8z5a75UycvbAAJTXHgyv/HjlxSsP3u9PkznP72NaMwwEBOzdZB6WDB1l&#10;5EjkaE3QDrdptTK8cuaNA5W5BIoMjXDt1JpgJIyi+tHDm6FTXz9p+chimcrh8/KSbky7H3kRheTJ&#10;olt9PnCyu8khZc+t5t8NtjrN73T+HSiPdK3p2elAeQbTRKkNfcH9OsMwDMMcetR91l8WAxLlRYde&#10;lJhKkaMYFIugN3J4RK5M7wX6yalG0UX9yjo1GoBBMkez+VPlGIYCSdbl81Kqf+lhEbrC+4z7Cosk&#10;yoBpN61SRo4qYzp/r/x45YWylmVx2K9mVs/vSQKyKEAjKFxqy6EVup6N8+ymVcrIkch1oKh69++V&#10;M28cqMzRgBman7BLx2uIoppfKUA9FHine0iHFPX14PL8CpGiJbxikkaQTs/M7YjILni48ZBm5Lzs&#10;RKGjDB1d33YT/x3ZS42F8d7iHyf47NoDMxaIu9yvMwzDMMyhQ73f+nKXVhY4p7LuRCGhUZu0wPqk&#10;0QyZNeKIzIsGN0eWJE+To324/6RAKUCZiqPgdGCluLWhFVL4+VCbkVKJ89vcTQ4J6rPmfcWIRIl0&#10;FpS3JYUyc/tkpTo6DWEPYqB1Y+mVrtnWeVa+P+B/PBkWkMKKnFZSoMEjJDPe7en8KoNG8pK0Uv85&#10;WolDfSF4SISOMn07AzTli0e28Bgqw3t8cR1l1m7uNiFuBPdOXmE+m1lKmSeag3B65rGybKf8qVf7&#10;PYpkSQRHs6foF7iHdkiA74dOy58uUvZ8hBXHk8Br2Cuk/bwULNGtPn14MnJedt9h/R1NY0PzEbbT&#10;pMH4/HajzNnzzelNkJchyDX73+V+nWEYhmHmztg98tMjASf7VClzJHLtWPkUIihzb7X+zv36EUF9&#10;b/7V+dPEziQKAE3x0KtL6MNKkEaUxinDgWL36mnarxJPLDgk83bBe0I37lpN06BI6DB1e1StLXJ1&#10;ZI4EjsSrh8SGmkiX6oBSfDOVN7DAvK1gSMgIAdt1DY+ZxMZbRrXM0WckJPSawLJHwgaoj85t2hIS&#10;uRE8jh6hY7lTouVI1pTI1Tq/GApJvGExjFoG9J0rb6Xy1AOhzYMBZ+oY7/e95ZejLHM9KIcZPL+k&#10;zzc0fqX/kAgd9K08bfw8I5XWIvue3/LxdFkC8ih0ORHp2naBfkRErkxqg+/vBvA6dbvPDy1L10Wr&#10;ZeBzkMFnl4SuayVn6BiGYZhDwKsnizuzKCOUvdgncW5QRo5EbuJOcVTWD1Vfa7x6dK3c1dsQgl6N&#10;1kINQ5ch7KbPOMrTEL7m/eJ5NUeh61ujX9Dr8w1m9Ra7abfHXmSeptuoLzuUkSORy+AxDTRLUJ8O&#10;bnGLtMm1iHcMiFZb6Ght2enbT5c5moqFXkkSqQ/dXjMI6iPmR90iD4idt5gfJZHr1lrxXlKzqley&#10;6p9fBo9pwJKQ3CDe4RZpo95kbhmR0/vcTS+/Ojo06sdmQBq/O94kd/RdObcMnepburx0rkSRa4au&#10;EMlq9fHE8Q+BuBDdA0dY5MqoN1l/n2+ltWtpgmnKEtJzgM+uPXdiE2QNA3IXiTvdrzMMwzDMgZNY&#10;It5VkFS5Ul+qaJXIUeU7aURB3eI/qgvBk9DlFohdW09stadGoabCHmFgpSjtNThHRQSSpnjhYIWu&#10;dKX/gryUQ2msXPsElU1rwTbZfZ1mkx27iZUycihye2+X73eLrCJ2krw9JYWiJlfv9l6ZI5Gj5lV6&#10;3UZ9BKlpTgtAPoKi+MnAxwAe+T9usXWh76k73KZVodsi12Xvwytb9c9vLGxAz0Z5u1tsFZmNvveX&#10;s4hT4S3fGxF7El3K0CXxOicjYkh9JXJQQqcSC1qy60SqKALQ1RDFa0XT2UwdC8lw8XRzl3pqzZnu&#10;JkeFibP9f18kMcd7EMc/SEjmKENHTa5JFLxRy4LcJdzkyjAMwxwEuTP8d5YrvnLTVMytnDMoE0UZ&#10;gfil4pvu1w8a9QX5AfWif5n740Gh/qTxmnSb3GV3pg/otmx1YUVIYkfik5MhGDBCz9Paru4m+8XY&#10;Hf7zUcR2JKmJDuXQO0lu+fpMBV0fajajJkNqgg3b04mot5lVGTkvmQv9HxgzQtDR0Ao91IcKy9pK&#10;zcbTyq8OkkVqluulDClKt/pmcK1bZF3UvebaUljifqaaiCmoabT8WquZlCaI7kTRyOKrLZUb9KqM&#10;nBd1trmlIAVkdRpU4Z3Khv4oqPyZ9l0tdwktCENRuUM9ETzfLXK/oKb10YDx794+gM40MibE8byH&#10;2lDk/rHxGneTg0J92X9qz9VzXz6u9xTfN2lgUQxFzlnv2IQU3k/K1lHWtIjSPHGLnzN0DMMwzP5T&#10;vND/rnzzlEyUK9sOU8D2E1vsSYEHrpTPuF8/aNR75n8cIlhxnTvvf/Y3qzQT6un5l8SbtEHqL+cs&#10;99WEEcAKMgBp6Qhd6XTxwv6ufak+13jBQIscSuM508TEMbsZdHaZI0mh0bU0ynYkYEBmbe2MnBf1&#10;h9bTNHcfZeC6UHxI6KaXXx1lmYuh+JWw8od7rUvd4uqSPFleSvJXKXKVMZPMkchl8DoU6fpGamfk&#10;vKQXyPfH7Cbwyj6XtcMrc3EUwT4aoXymb0h9r3G/MnQkcmm/8a+0YkilyFHQsxDTUOratEH1/EmX&#10;uJscFErdtCB3gd5Dq2Skl/hucj8+aFKn+56xM76UmTN0fIbp/jShzIVRnA0oRgzYewcLHcMwDLMf&#10;FC/y35lo1rESpVGK1ZUtra3ZpwlQ15n/oX5x1imDm7TF6r5wG0UibLZhxdOWMM22vlXaIgD4A7fI&#10;mnSfMu+GHVKqbpTDARGBTNB4bjah23G+GcyZzj5of+o+jE0Yd4fb4HPiJPVg8AP9Qbm7QwtAJwoR&#10;Sdi+ShzFp2AIKCwxXgC4o26GTj0bPD+3xLfDbvbCMjoxuvdD5mwBwX2R8FAH9sTZWt2MnBd1r/+L&#10;Ey00X13YztB5y/eGV+by5xoXu0XV5aUT51+c1mmR9ymBq5S4mWSOMnIkcrlwdR+52Zh4s/GFnXh8&#10;3ufJG16Zo4Em7Xic7Q0m5Nb5dqh/ufJ0t8iaQN/JesYwXhjUF+L9phU5qmUujnI0Zpm71V/N/8Do&#10;Q+KkiSvw2fkwPr/4DOXwmaLnl17VR2STW2RNlFq7YGKjbKemcTrOXEjsjV/ju8H9dU3o38N/n6wt&#10;on3Y+1nhPLcT+AxPbLIWq9+ETymdbf5HESU0hv98KGvajc8BPXu9Gl4ffBazCwXAfRYLHcMwDDMz&#10;u97tvzNrSXuJoW7hrABQrmjpPWUJ4ljBZIQ5kpLW7pQlJpOGnNweEpO9WvNkhx6a7NGtyfipIqbU&#10;05pb7DT6lvtuzATFngStGEH7QckqiWYoRMV36gnd6D3ij4syNPliA+5HNk32tYjJviY8BhGcfDGi&#10;740v0Ic6otpkmpb6QtGhCpxkjDJ01OSWwihYOiTWUobu/poZOvWLxgtyq3w7siKKZVDTF12LELQL&#10;yprVlznaD2XkSOQGZPiARK4MCd1o0LCbXL3le8Mrc/0b9P2SuW3z9YuTeB8PVOaoabU3dGAiR5DI&#10;qPdb3+jG6z8lb5XvnfDKXI8ehS5aKg2PlZbDyjX7Xhp6hz/kFlsFZVwzp/heoDncqL9ZBz5T02RO&#10;W0iDCib7pRjqN+TeHhOfH0tOpkzDfm479OBkPz7TpUv0t7nFTkOpR6NjF5sdSfy30ImiSc9wEu97&#10;oVnu6bti3o3u16ah1BYtGzRir2qhyW0YtO/+FjmZDeCrZUx2R8TujhZ9hJpZ2xsoq2zhM+dMMOys&#10;10sDVaIwFpUAXwyy0DEMwzDTgY9ad9J0F9QviqSEOoh7K9d9U3FQYAXjlZuk1ooVZhjyF8r0TDLX&#10;sdZ3Q1KIvSiEuE21LOw2glBYShm62lm9XQ/IT42h6KSwkqf1Lb3be6XEe/y07FdvQwvkZBiGlvmn&#10;ZeiKG30tpZNFjmbj78XzcbabKpf2USkf1BxKI1tp5Qv6eTtutwtFbsdt8q/dImsCcJ/hvq0Jis8X&#10;B1oFbMdj7cFKvAsr+JdpYl3ch3Ne9OpOeWLfCwOKKHMD+ylznfoClDk6n2rZce4jNU869zOB59Ut&#10;dMihGKXx2sWWzyJycELdbOzk5dY3aFLnXhTqHhTD8mCacnjvpzfyogn6Itr/qrtCzW6RNtB3h544&#10;TX+Brk352Cm893/6+Tr3sVw+TQJNI7e3nbig5nWkPzTGm/w/LqLo99WQ+5Il9+650aiZoaN/D/1L&#10;ZDpJAmj/GyLZrN6+8lkrP2/2cblhZ4gbIlDEZwM+yk2uDMMwTAXUdJOJCLuScTJajix4K8MqmcPw&#10;VkaU7elsCEH8fC1RS+Z2XmHcGGvV9yRRTGjy23JlVY4OFJdhaUGmuXaGTj1gPjIWoOa6MHRhxevd&#10;vlzpzSxzlO2ReOzSFrqxDf7nKzN0CSm3FFFgaFQsNc2WyytHpchRUL+mriCthkF9u1qA5ldTt1nf&#10;cIurSeZ633njy2Vv6Qb/OvejmpDQjZmOLHZqVJHTpL5TMkcxJXPmIZK58shZ536SyFGfwQG8bh0n&#10;1Re5+DLjwuJC7Tfq2saV7kc1Sa2T3xg38DkzdLyGByZzHZoEe9sLfPvW/aX7l18hnh8XC/E71c+j&#10;9/57z7d8H/ftA/8QoabkpLQ2uMXvg57HVKP4Tl7StafnCMXSs7+01gT9C8Ue9aeBaUJH/x7SC2Vi&#10;LjLn/IEl8RgFjC83AP7YusUtnmEYhnk9o54K3lFcRPOm0aABZ7QqCR01F3orw9lkjrbvaAhA5jyR&#10;8spc7zXzbiiYci9lePqw0utGQdlXiVZEF1ZUI1JCvkaGbvI98tERE48Tt+3C4/FuW5adKempPn4a&#10;ydgeoKkv8HwbWmAMK+adV1MfOmeU68taeEuOZEaLOhWuXcZUVIocRQrFkyplao7NywiMXW7WFbnh&#10;NmNF3gilsrpBTco71BNm3dGne97r/+LuEJ4vlm8fM+6zMg69zFXfT8rIkcjFltUXOfV2c22nqQ2O&#10;4XcTi2S/el+w7lJqPau1b9Ckzgcqc52aASWUqNiZTl9EgGf1XWv8LxQErdNL36k+fu/9n36+1eXT&#10;Pc1LE5IhWSVz9Bz2LtCeG5XN+AzhMy5RRPF6e/fXTplpvBelJrlXPVwtdPTvIXnygcmcN3rsUdW0&#10;9FkYkhoeS9S3Y+vJYrW7C4ZhGOb1CHzRunM0atqTv3ahMDirFTj9vuz+UVjhVQdWKnZF5IiOtzJ6&#10;WcPvaAJ2rbe6AbbOc3dzws47jRtSUbEnT1IiorBNC0DCzgBVV6a2QFJlqUnYbVgA1/qrBkWUbpW3&#10;krTYfYjsyrR6+9lkjpojSegoQ0dNrtuxchyTARh4i+95gOfe8Iqm3V3CyjxVrnDtMqbCK3MUnQ3N&#10;9rUqnVZf5HZuMVakIr7+3gaar486uTdBfLU2qB6vP+3GnveZT9MKC7SWp5MtdY6F3h+eZlYn6PqR&#10;eM+WkUte4j8/scg3mEMBf9HSoIjHmVyg9at/blvhfqUmiaW+b9A9ORCZi+H9GpZR6DxDv4PKyFzk&#10;e76AckOCRc3ilcdP4b3/08/XUz6WUzAkoHTtkzl6/kZPM54bwP0k8Rpvw2MguY7ZA1Sq90fN7DRg&#10;o4Dl5KNyj3p6SugOhcx1NrRCBv8AoX6r1MRf1JshY8pi35lijbsbhmEY5vVE+yb9VrCw0sEKO4EV&#10;VElvhQJWKFlqasJXkpohlJRB/H2JAj8bwIqkJC0YRAEaxUiEqSIV0EWZCppGQQp7kt4XT5z/PXc3&#10;J8BHQjfuiMi9djYOK1CqVKnyTdoVsAVprCCpY3cnbl9Z6dJ3s1juxPViX4bupRMDF+VoW/xdHOWB&#10;KuBekjMUiCLue1Di8VYFnkNFDOK2lVFCqRsSzTARMCB9tu9vXmqIvJsqyKxh2ucSw3OujPLM/L00&#10;NQdlRvD9cFBCsbX+Umbqj4LLs4tl/75y3KBrkjnNR0JXN0M3eJ3xRZoCg/ojdtL1weOOa60oXFSp&#10;U+VuQY6yhPstc/MvTuD2XplJoGh04zFtlQ0w2iph5APyc+4mNdn9dnPtQFQO0qjfmKB50egPgQAe&#10;SxAGjGC/ev6kuhm61ErfN0fw+ndqIZQgkvtK0SLB84gzflYUYRjfJD6WuET/ybBowfvXBHncbwbl&#10;ZhD/UMjrFGFbykb23XN8dvGzYfw5jcc5gs/zmIVCZu9jKpIoaYP4PA5eJDfS8dFzlzldPDeMz7Tz&#10;Bwyeny1jeP9MZ044eu63Gzp04b2pFC/KFO5YbOxRXw/ZQkcylztLJuxRxNRvEO8/lZnEZzeDx0Xd&#10;B+jfWmUMYYzgtaSg997fp3C/RSxv2DJU7EzNPmaGYRjmdYL6SZPsvEX8xcAq+Y/5teK5wkbx3OQt&#10;1nPZt6E43Rt4bte1/ucSS8SHtkptc4/p25ww5eaElJsLa+XmjrO0zamzfJvVpaHNqaj4jxQKDq2K&#10;QJkFGoGXw/dbT2z+R3s/DwduyLfqezNY6cWxoqyUuRTGuAxDT6vvd51RbVfMpGbE6gxKJ1Z0o/pC&#10;GLjJ+DaV9/MTIudTv7wE7oMq9y6s0LahCLwakRM7bxcPJ/DYEqu0zTGMFL7v0cKbYz4MfO3QQpv3&#10;vM3/5dFbjOdGMMYxsnjehbPFc1m8Br1XaN/Jtvm/TSsPbNVo4Xtay9MrcxaKq4BOWjWhoRUFAQVm&#10;6by6GTn17eCK7GqtP203K1bLXC/KahbPM7NYG1SPBc9zN6nJjhuMp4eDNOcdlUFyQ9e7Wub2d2qS&#10;X5zgv4Dm4/PKXDcKKjVh0+ALtdl62v16Tcbu8Z9HIkdLlTmS42TC6N5mMEjokhdo/Sq2esYMnVJK&#10;Gzzf/xJdg+6G6cuJVYqcfb/xM5Jp9R75i+wVvh/Gz9PsezhwnfHc6M3GcxMYk/dazw1eLr+cwHv+&#10;+xPNzd0Sn9+Q3Jxqkpszq3ybU6fhs7yWnt/Gh1HgJiplLoH3N92EYnaWz86W7l5tfXsUn9Fue0AM&#10;XeeInbGk5bfoWsUNsauwzsjQubbrdB2mZI7C/iPpdGOv+mLgWiovu0YmK2WuD58JGjleXCX/Q90U&#10;2Jw4DY9vhRMZDNzPvmjXrQ+N3+l/buA2AwPP+R34/K4Tz42sNZ7bsUH+U+bN4i9U5kxJ+2EYhmFe&#10;H9Qddbi/FBfLzxewQqKKtweljrJkJFuv6vrfwA9OuXRHRO4hkYuJKGxviNoyR98tyxwK4j9T82Z+&#10;pXxLJjh9oXfqjE9NSrtkAHa/2/yr0uXGevxZUX+7NFa8JCD2sk/NviEqxz2sg6ZPa35fQWvFSt1p&#10;Ai7LVzn6RMgWuaQuYUgaEF8k9mUga6FeOWl5ZqWvnwZUdGqO8FRGUtAUFC32cmnpZSh0n2tc725a&#10;k8kbzafjzWLyZS2K8jBd5hIL9i8zN/Ee/7tGUUAqRY4igedVCBqTuzaLuiKXvMp3fjbqszNyJHIk&#10;WT0o1o6I03niMdH91cIwsNboVzueCLqbTkOpLeGxi8yXB7Es7/33ylwfivQACW2LuMfd/KB57oQT&#10;3hDTG4cqZa4Tr2vGMpX6SHj9jlXyrwYoA4efx+0VRfD64M8kcnTOGcOA5MW+m+3Jg9eLWAGfc6/M&#10;bQ/QfI0mDC+Su9T/nHFRbrV4pVLmKEtImcDi1fLz7mHNlUPy75phGIZ5HTG83PjSAFZ01AeM+hHF&#10;tQiKTjPkW2Wsf40+Ss2IlJEjkWvXWqpkLiHNf4att+zrV9e/Wryz/HsKEoOYvtju19aJMUzNZutk&#10;V6fWtJem6kihKFCWhJprk345rB5pirhFHTR4TJupiY6aU+2BDVjhVgY1rVJz2pCIwN5zxEsA72t0&#10;N52GSp25rLje159BiaMBCtRXyitzW1EK+vDzTl2HDJadXSozMHhJwC2iJoV15i9JMDrpeDwy12ns&#10;n8zBI/5P7sbve2Uuoy2EiXfIX7pfq4lqDzWXlhoTlJGlplU6DxK5Drxe5aXMKKjJtVtvgqzeCnGf&#10;8e/11sZV6vJIYa14iTK75ftP4ZU56vyfsQQkVsjN7qYHzY9PMINemevGZ/fVoNi7e73ZlcV7TH1A&#10;0yhwJKtJqTtNq3ifSOQGrpC3uUWdoHac0jZyhhHrwj8yKmWOMnq0fi4+s5CJyHT+LFGslLmMRHnG&#10;fx9D14ovuUUxDMMwzJGlV498iTILJALUPOetfLdq1C8p4vTF0iVWbBF7fcziSfJ3sPWEfSJXRn3U&#10;fLJoSqDli6jZ1lvelHiQMFBzHlXCKBMRfXjkTDlnmevQwptLWMGSbNL+0ig8JC20VmYPxsv28Udg&#10;bK14Wamrwu5m0yBxGYr6f0dCU16v1RGd6sqeRKybsnYNQdjZYkDiDP3WmebYI9R95kezurGTBDYh&#10;aGJkPE73WCk69ZP2S+bUh82PDYZJviqvqSPGpYjcuesG863uV6cBcMs8dY/16fEICknDQruZsBcF&#10;q0ejudfwPCnc8kjO6FpSM2TJCP5bvaXUVP+F4dE28XIGBej3Dfi84L2la0TllK8XXcMh6qt5hm/O&#10;Mqc2+5eV5stxmpCYpLMTn899x+9Gu0WZtWY740zylcRjyskIFBab+0SujNqxpi21WsSyWF4HHmcP&#10;/rugUeF22M+y00eOgsqm86H+doP4jPWeqrPMMQzDMEeHXn3+lwYkLVzuVLZlqZiKCFbmKGZYGVJG&#10;q0ezYHitEVOJNW1uEdNQ77Ge2hmkzvTTl38qS8JU5sbECpaaYs3hV+WhkTl7tCxWtrQ/EjnqR2Wv&#10;UoH7GsQKeXQ5ityrS2bcl/qvBb5sUPzbsEbznpHYTEVZSqYChQElaGiRAPXH5ifcImqi/jj4sYGF&#10;EtK4XRKveY/WeshljqQlga8p0TheOklc7X69JuNvMj4BJgoKHv82FLAuvDb7RMgtj2SOjo+yWyR0&#10;qVYfCl3tlTcI9eUlkUJQvFxAYXbmcXOPyw26hsOHSua+Nf/aUpD6ac4sc9R1gJr0KbNKUpeVkclY&#10;nTVp1Y/DbfmVMkb9I/vKIjeDzFGUZa5vOWfmGIZhmKNE+7zgl0pY4SWxoqK+cmWpKAdl5EjkaHLd&#10;DI06vIyW+Voxo8iVGb3PeCpvTl+YvSxx5UjoUaxoDegO+oZfXXLoZY4EjkSOhM7uHN9mzCpyuUXi&#10;33JC2tdkNpmjDvU7UU523mPUFbmhcwJvGl5iQFcDjaCN4vEFbTn2Xp+5ylwMryX1UaTlqQak3NV/&#10;XX2hy68XnyhFaDUHR9y85Tl96Byho2tKTeXDbzTqC90jMhKf73uZRqF6r1cMj+uQydwPG68aQJmj&#10;fpkzyVwffk4iR5P0DrZKePV833vdzWdE/dcpbYXTjXge721Z4srhLZ/+2CGZi5/OMscwDMMcJV5s&#10;CH2BlmdKYmVO2RevXFDTKkkHidyIPxhTufNnFbky45uMpyhzVVke/VwWOXpP02g4ozLDQ987ofaa&#10;nQeCV+aoaZWEjkQuJcyfq88YMzet/t38aF+b+DkJC33fOU463qnwyklOmnt23uS/3y2iJsn14upC&#10;QOzssAcbUH8+EtiIPbly5bWhmKvM0VqjdL6OKIYhe5LYpd7bWFfoBlfJ+/uE2NMjSV6ry6N75PSf&#10;o/5oAegyqG+gAbHztZ+r/5gfdYuYRtdqI1yIiJ97rxddw0Mmc99ovIoyc/Vkzh5xqgVhNCRh1x3i&#10;KXfTWVE/DbfFztRidMyVMmefw76y6XeuzC3nZlaGYRjmKJHbKH+UxQqJOsFTpZjGSsoRGWp2syCD&#10;n+e0FkitFHGq4NzN9pvJt5lP0QLyMV2HDizflhbcR1leaF8011tBD4+rD/mXupsdNCRzBZI5qnQp&#10;UJio31tBBmH4avNJ92s1UX9hnjvSRNkzmntsoX1cdl+ripgSHUf2iobcpR4x3+IWMY3Ry8yrcgG5&#10;qxvlqpv6b7nblcuhxeSTKAPUeT8lBfQa8/dP5j5ufGwMpZOmYKEsXwZF3FnxozqyKMo7aCTmhxuv&#10;cjedxvgbzbckhbmr1x0dW743FE6fSdqHicJkwFb8rE8LQHqNDupnJ53rFlGT1HLx5NT5Tp33EO7n&#10;UAyAUF9qvGqE5pqz740j7jSKOaE3435Ilk17EmCaR3D8w/svcmVyj2lt+bCM5/E5oDnnaAWP8n0r&#10;B4luAffTpTeyzDEMwzBHh+Qlvm2VMkdyRbLlVLwmlPB98gwtpr7ZctCi1bdBPDVukNBRxYsiVyFz&#10;lKmhTvu7oiaoZ525vOZCpcxR+Qm3kqefswEDJt7sf8z9ak3UFmvD4BI5VkAh6NVbZpU5WkKtuEQC&#10;rcThFrEP9VH/1SRyNGK0V6NmXtp+SmooeuzrYdmjJjMoDTFLu8zdvC7qI9af7JI0VxpNIeJMuVFL&#10;5tJS2nOlFaIodF+bnqGDW/x3plqceea6BYlbtcyVRY5euzS8riilpdPkmPpaaNrap5Vkl8vHaALr&#10;qfOdOu9DJnOPmVeNmjRIoULm8L7RCGFbnhui9uogu95mHLDIlVEfmL80tkDESjTpsD31Svn+O1GW&#10;uVdZ5hiGYZijRfpi34uVMkcCR5UuCReJXS4s4+r/HXhGzkvHWu1pmoXfKws04pUyPoWFEtQ3zBmz&#10;R/uLV+ZoyS9nMmTqCN8EI5YB6q1WfaF7wtoQX6qPJw1agN8rc9VyQh3sOxuWQAGFTj0esJeoItQT&#10;5lWFZmFn5Ejk6Lu0ZJhXBuiax/HzpCFgpNnoz1ypLXKLqEv2HnlG0tTS1DxO51luzvbKXI+kVQ6i&#10;0NEQgdJSsUv9w1TmDx4K3plrpqZakp9WPL/pzb5lkaNRoBlpwY4Vclz9Q0tdkcufKh+jOfzSh1nm&#10;9nwYZc6TmaOMHF3zJD1TIQHqxsa68+3tD+q+cFvMEvEClum9fyxzDMMwzFEn45E5Z/H78oABM64+&#10;NH/OTZ9lEufr0/rQUROo3RTWhJL1jfAhlTmqbGktzoxuz/RvT1j7+xNbbKEbuUnWF7pPWBuyi8U4&#10;CUI9meujOfpQxjqkBgOnS4C/Dt+ifj3/ktwafRdN4UJNq5SRI5FL29t7ZACvc0pvhWLU6Fdvbjzd&#10;3f1+oc4LnJmVod00V183CiNdz2kyZ48qDUMMRSyjhSAeFnhPQ83qgaa35lokdOFxd2jUz46+S+JW&#10;LXMk2pSRI5Eb8QfH1D/VF7k9Z1uPFfFcabqTLn36ihC0H3tqkkORmUOZ8zazUtMqZeRI5IavOvCm&#10;1ZnYtsS/NI5CV3nvKMoy16EbX3S/yjAMwzBHluwZ8kVq5nQ699N0Is66ramwiKn7zTln5LwUms2n&#10;qQKmaSs6aLSrJGFogpFWlLmvzNyva3+hpb/yAs8Dy+6j5k08t8ropvVgtSYYapIwOZvQPWFtKCyU&#10;47SqQoe2EJIoXV45qRQ9kolUq1TpsNydQkmjReWpA74TjlwlsJwUrWVKkoTb05q26UaR7t7QcEAi&#10;V0Z9d8HbCq002bOz5ivJRWV45YPWg+0yfdlXDbGX3leKH8XLKG50XpSZpePrRYlL4THm2sQ4/EvT&#10;pe5ua5K9wPeYMyK2IrAcO9yfUbahGNQht+wQyNzdjVcV8Pi6NOf5pWb8TpS6cQOv81n6nDNyXrpX&#10;mG1pU0vQuscZlORuPC+a7Jn+/YxeLv/T/RrDMAzDHFmyZ8oXE1ghOTPoGzCAlWFWGvGhm+c+GGEm&#10;CobxdJEGJmgoQZQxEyEYDKPMfVjMWeZeOjG8eZQyZSgmVLl7Za4Xf0eZrAyKHgndbE2uEx+TG7Nn&#10;inEaYNAjpi9XVSlzFOWJkikzSCNqvTJH85LRIvvtGsqV1gKlRXgMm/0XuLs7KNSnzbeXwniuDSSP&#10;9WWOslg0ytUOOmb8rDLonOhZoNdOvD8pFNLSSjmuvhWquwh879m+x0ZQcCqvjR14DSpljq7RkClR&#10;tuY+mnXiMhNljiSaugQEIYUyTYvXZ5fVX8psLqgnApcUlsu9HQ3NdhO2vVQYRnGD8bL7FYZhGIY5&#10;siRW+F6kSp+EjpoBU5aIJ1cfPpErM3y29fcjehS2NZj2mqeDQZS5++feZy4ekfdTp3caEODIg0fm&#10;aJQjSgsJHWXoRqISJt41y6CIz1ob0ovEeMLt+1YZXpnbfmIUaB1Xaqqmpl2vLNGoSGrupWtdOg1F&#10;7kuNb3d3MyfUA41vz0VoAt0pkaslc332km1NdtB77/GVB7+QiNLI5uTp+rj6h/qDHVJXyMd2GtS0&#10;WqMZ2hPUbEtLqY1skHWnc9kfcucKW+YoK5eRISjh+9RhFLky6inrpuGlci/1y9sncxfL37u/ZhiG&#10;YZgjS98K/cVejSYNDmKF6E8klxx+kSOU+oV/9Brx80F9sS0/6ZCEPYdA5tRb5y/LBI3YoOE05Xpl&#10;rstuTqa1NUN2k+tLDREYpTVjH5qlyfVToQ0puw9dtZx4Za4XBYmmQyFh6zWny1wnnmsCj2M4LGHH&#10;h/VDInJl9t5rvp3Wxq0nc94+cd7jo6bVLpQUErlhc/64+kVTXZFTN1mPlajfmobbugJdL/K0zus5&#10;Wkx93b/MLeKgyZ0vrsoLmgMvCHkZgWFhHXaRK6O+Grypf5nYS+fkyJzBMscwDMMcHTIrjd9TH6Ad&#10;i4xJakJyPz4iKPUhf+om8Z8FrQkGaJTpfXNvZiXUx8xTcq0y1mOLk7Fv8ANly6bJC/Vrw+/ROqWT&#10;d8vPuEXUJPOw3JhvNMYzJGs0SpVesYz6QVIVsJsCSQRpsEFmsQT1x4cmI+dl/Erz7dmQgCxKTncA&#10;jw+lrCo8x0cTRZNc2lOT4PFRE3BGa4ZYmz5r06q62fqMM2CmIjz7o6XOemzhQuHRo5ClpeD+OXyK&#10;W8ScmLhMXJXDsgdJIoV5xESujPpz66axsJzsa2iGwlnG79yPGYZhGObI0iX0ziGaFuRrwZvcj44o&#10;AF8yRi+V/7kXK/4dp5tXuB/PGXWf2ZZZLGJxbRFKBoqKoTvZMhSYynBEwwDK8JDQqQ9bdYVucIO1&#10;MRMW44OU9UOh88qRN0iSSHKo+dKe3BelNb1e3uoWd1h4dYF+a96Uk50NFQvnl8NzfCRyzmoZjnSS&#10;pGYXinH1aauuyA1eIT8zKj0iR1G5L4wOlGlbYLUgZM+Qh0zkiF+8Qbtit2iCyaut77sfHXHUw8Gb&#10;is0C4st9He5HDMMwDHPkgFtueUPuHHO7+rz/He5HRwWAR/7P2NXi56mrxXXuR4cEytANh/zxtC0d&#10;KC01+rDZk8yibJDQUYYuTwvmf6T+oIjC1dIWOjtDh2XUC8rIkcilJS39FYLSleZhych5SV8k7h4N&#10;m9Pkynt8zlQxTh85ks3iQjmuPlZf5IaukY+NBCTkRI0+ctP2R5mzMAyuFvFDKXLEiwvnXTf4Zu3n&#10;+Pyc6H50VFBX+t/Rd41vK8AJb3A/YhiGYZgjg3r6Kk0lLj7D/fGIMrbJXFs6S7xQPEf8tP9M8Xxx&#10;rfG73Blyez/97I2z3MD3RXwtR36N76d77vb/JcmgW+w0Ju4224bDfjtDR02uXpnrDgtH6ARNcYFS&#10;p5lQdITuUbeImoxcbtlNrl458gY1L5IkZWVIFWTgsGbkvKj7A086TaeVclV9fE4fO0fkksKaVeTU&#10;JutRysiRyHXqlJmsL3MZLQqFlTKmvj3zxNMA8Ae5m+RfDrT5f9p/rq86yve+HHjP6TnIrTZ+mlnv&#10;2z6y0fhd/xn686mL9Z/uusJ4QX3RXOsWe0RRr16yUnVt0dwfGYZhGOa1jXoqdG5qgW9g0J7qo1ou&#10;aIRgUqcBGRSGPd1EZaRRPNIoDUl8pZhsklA6S9YVr/g7tVNyJ8t4RltsC1yPnVEzIa7Rkl3Vctep&#10;hVHogjAaNmDXbH3orpYb8yfJ8aSQ0KU3QY+pQ1zSOeB+aMoMFJ6uhhCMBCVM3Cc/5W52RJl8n/kk&#10;iVeP3STcgseE19kNek+yWdCjQKN11edn6SN3q/8z9qCKCin0Xj+SwnatFbpxn3k9BLlVRlx9r3XG&#10;jByJnLpDfmeCsqdaaNr9nnoWnLCnfLHFkY4hAAm8V+WgQRjZRWJAvRCqu2YswzAMwzBzQH0xuDa9&#10;RBtI6hHoMVB+sMKvDJoipTJolG110GdT0atpdqUfWyT+yN1FTdTtZlu+2YgldVo+C79Po05xO6+M&#10;kIR0604TIvWhG7vFeo9bRE1GrpKXpSJivCCaoUOLQgKlhMrpIsHTIjBmSZpype4C/4ebgU3GkzR6&#10;thePj0bcOiNW6dwdkcuRyH3Kqrsm7OTbrEcLlQMq8BxryRyd93aU5CzKI/VZVD+tn5GDe43nhug+&#10;Ypkxk7Kk1fffG47MTUXCEyT4e872l9T/nnqOuxuGYRiGYQ4V6pfmudkV2kCG5noTrVgZO8uIVUbM&#10;E3GSr4qwJ72tiHasvOMiCgVa9zVcX+h2vNM8JRmS8ZQhbaGjDJ1XRuJ6k722JwkdZej6RWB3eqXv&#10;RreImhTeJDcm58vxmECZwOhFUSKxyNHC/neIoypyZQrniSdpma20pKZmJ+i9nZGbrWn1w9ZnJqJ0&#10;PUiAHYmbSeZo4umC3gyFVi2u/u/MfeRI5Cbv8X9nVNJAkoWQELSGLU1mPP0ZqAyvzDmTXVcGjc41&#10;IXO67IlfazW6u2MYhmEYZq6o/wqcsfNqXymDQrZNC0E3Sk83VuBemaOF0p0F/ynoPS3O74T9szCq&#10;wl6TVGvB30so6S3Qu1z/kLvLmmxdobWR0FGGzisiFJ0hmtW/yV7jk5pc0/i9vIzs7Vvqqzvad+SN&#10;1mUZyxynNUn7GqIwiLK66+Kjm5HzMrraeHLYMCAlpB1DhjGuPhuqm5FD0Xt0ICiBrhdl82aTuaIh&#10;IHuSjKv7Z8nIvdt6Lq9HUZqdFTG6Ucqd5m/3Ps8QXpnzzvNHk0X3aAHImxLvm/yfHe9joWMYhmGY&#10;OQPXWo2FkHi5pNM0IV4ZIKmaEitvpoUm4N2mGShXYUjYFTpuV9HMR8tnVcaADMCrzaKu0OXWmack&#10;hD9Oi8f3oNTYE/3a+6sheFoT7rcZsjIwmY4adTN0HW/ULtshFkyModBkVhhfcD8+puherH1hXDRB&#10;rllMTMyWkfuU/9GCpGxZELajNDtroE7dOzsouxnUIYb3p6S3QvuyeXG1xazfR+5O/7eHpQnbGpzl&#10;x6YNosCgz+15+cIa3iPDztzRiOOpe+7s33u/vOWkTxO/gh8uZKFjGIZhmIMFvmw1piPyf3IoSu01&#10;Mzv1ZY5WTEhRtgelob3cX6uOzGWlARMyCJ1L6mfocpeYbfGQjNM8a7Sup70aQo1m1278jKYWyaBM&#10;oNDt7VtWv8l12ynzboif4vuc++MxydBa6+8TZ9c/D/UB69FhQzrXxR5s4IzKrbx3FLS4f0yLQgpf&#10;sxEZp/n93CKmYWfk3uN/bshuxm6yZc0rX+Uoz8uX1pqhZN8j6utI2dryvXb2771f3nIGtEUw3Cb/&#10;B+BCFjqGYRiGOVAoIxJr036VM6npUsI2bfZmOq/MjQUF7Fllfi3p9/14VE7vs1UpchSduB9ac5SE&#10;brYMXff5WlsqKONZEYEkykWvqDF1CU007AodZej6pbk3O0uG7nhn8mH/o5NhyoKF7IwcSRH1BaTw&#10;Xv9tWguKXBgyrUY8t6meyD33Bnib9Rxl5Jym1ZDdN9ErX5SRK8/Ll6eRwUvljzNN8uujIQkduB/v&#10;/r33y1tepxaEAWFCbqX8FcC1LHQMwzAMs78A3BDIr5T/MyAj0N6wCEXAGUU5W2VcKXJUsY+d5/8W&#10;lac2LfANWOIX3u29MkfNfp26YWfoqMm189T6GbrEKWYbSkM8pS2xF973Hg/tg4SOMnQ0uXBvQNhC&#10;N1uG7nhFPWI9OhigtVZbUKqidtOqMwcdXY/pzaxF/Hy4WcZVHZEj8peJPx+PSHi5gZpLLVvkemgZ&#10;LnxfGeV5+UjkCjL0C6Xu99H2ySbxraKY/fmZVh6KYQzlsSjCsPMyytA9ErAPiGEYhmGYmaEMSG6Z&#10;/NWI3SxWu9ItR2XFTJHWTazMm2BIj0BslbBFrkxxywlmJiR+URIGbKNpNvD7JHyV4S1v2DJgfLm/&#10;rtBNXGG2JaUZ622gpj93ihG9FWVmevkUKT1Ky3Lt7V712hI69d7ow2m8Z9143To0d9oWlCE76D1G&#10;nJY/QwnLyKiTzVw0L67unnmwA9HbLD5UwnJpYMKUeDv3p3xNafJiiu147UuGhESL+LkqBk23CJt4&#10;s/juMAr6iyfifiX1dTRR1JwmcorK+14ZNMKVXjtx/7uuM1HonhFukQzDMAzDeAH4cOPwBvk/QyIC&#10;7bTAvVuhlmXAG+Xfl4PmZhsSzZALGlUiV0Z9KORPLZS/KdiVOfW1qxYtb3k0vcigJSG1XjzkFlET&#10;dac8Y7jFmEyQrNC2KDBdOklMdfndpo6iR1N8WBCPyr3Zi4wb3CKOa7qX+25ISrnXniIEz5+Ezr5H&#10;HpnrxPPvQeFOSx1yUibUffVFrnuReGgiRNPIUHN1rT5vznW1s7EoZwN474ci8heqsM7vFrEPgJ8G&#10;dqwztuYDOmyn7aWokrlaQlee0qT88y4jCNk2+axbJMMwDMMwXkavEr8cxIq5AyvvrQ3TV1jwRmXF&#10;SzGoRyCz0vdjt7iaqF+du6y0RuQLKF6VokXhLc8eNKE3wSiKxOBZ9TN08BehG/OL5CRNLUJC121L&#10;jKd8PC+aEoOELom/pwwdXBc6rjN0Hct9N/YZYm8az6cLz82ez004EuS9X10azenXTFN/JKiJ2i2i&#10;Jq8uEB8awGtP8wN2hzRbjr33h7JxJHK075wM4vVEkUNhd4uYhlJXRvMXiK1ZrdXefjaZ80aH1gR5&#10;YUB6gfyKWyTDMAzDMGU6Vs57ZhgFqzOoQTtKWeUo1ZmisqKlyn74YrEV4L6T3CJnBLauWr1rpcw7&#10;zYEzy1wHVvrteBw9ug6DEoVhwywZum9FbtoZNSc7G2jxfZLRapmLowyQNOz7TLMgEzD2Fi49PjN0&#10;8VN8N7waFHuz1GSK57JVoz5mIUjNIHNZlK6s9Mfzq/1L3SJq0tssHtpt0DWiQS9R6BTOihje+2PL&#10;HA1QKPeR21LdtFoLVTi1eXylsbVAg12wjP0VOYo4ihz1AxxAKc+v8P+lWyTDMAzDMENR/1cG3Ca6&#10;yihXtPsqXJSByohh5UpZsJwUMHCWb6tSN0XdImcFfhVePfJGX576bjl9uUgcys14JCIhLDtQFUXc&#10;Z+ac+qNc4YuhG8eWy8nfnUhZoyh02MLhyID3fBKGs0xWxjD2Zo8zoUufYtzYp1t7qwedVN+/XpQ6&#10;e7JgSdk6CYnIvASNAnaLqEmqWXxo0BQQq5I3Em0LJZEGVDiS5wyIaYY8/pyZL/ZL5Mqo/PxobKWO&#10;QtcEPVoz9AUFdNLI48pjp/2WnzX7GOieTa0mQb8fuoIzdAzDMAxzQmKV+Mu8PW3I9Kk9vPJTKXIU&#10;7VqTvZ5m70ptq4qHmt0i9xv1y+Y1xVUinxdN0GFPozElcxRemSNhGTcl5M6ZJUP3F8GbSeg6NZQO&#10;odujWEnovOeTokESGskBCgkK3cA1x4fQbTt73g19UlSJHIX3/tHKDBk8x4I0IOsXiVfPm1c3IxcL&#10;i4fGJK0WgdfMzspVyxyJHE09Qu/p96PSpJGrByRyZcY+G2pOLRbbMrTyBz5HtCKI9/j3PWv2MdA9&#10;m5I5ijye287LOEPHMAzDvI4pbpBfGcIKuUePYqVZXZFSeOWnUuQoihKFaJFvq/qP+TNm5ADe0+C+&#10;rQlsXbF6/GyRT2otWGHXl7nt+Bll7Kg5uHDmLEL3RPCm4SVyMoGS2IlCZ2foPOdDq1LY50pCR6Ng&#10;pbFnbN2xLXTpU4wb+oW1J4EyNZvMxfRWe/qReEQkEufX7yO37ZR5D42gKMcNFPuQjuJGMudIXDkc&#10;wXOELo6RaBZ1+8gR9e7/6D0imprv20r3qNbxT8lkbZmjOQlLpgB1R4AzdAzDMMzrj9JN8su7QxK6&#10;DA06qAmuRmXqlR+vzGWafdvUZ2fOyAE8ovetFP85uq726NYy6oX5azLLfQUahVkWuVrNrL22fC20&#10;1xodDhowftcsQvf14M0kdJShoybXaeeDZZLQUYaOmlzTKJTxkNiz877AMSl08bW+G/plcA+tg9ur&#10;0Zq39WUupTVBTliJ5Cx95HJniYeKQkAXSm0fSly3bkC7fR+qZY6aVknoSOSSwvrlbBm5njbxrZ0b&#10;5H/Sc+B+NI3/XeNrzjUa/WldTjv+2WSO+vJtx3s7GjZA3Wo+4RbJMAzDMK991HuDX5kwpd0MR5PJ&#10;loMyLpUxVYk6kRRNEJP4GYpE7mTfK+1v9M0ocko9rQ1f4v/JuLSAYmi9/6vur2oCv29eXWoThZze&#10;BB0YNHnwvqk1KNxjKQfJ3U6sxHe/1T9Lk6t1846FcrKrgSbSpSWuwtCN8taO8lJZHgXtJ9GwCEai&#10;cu/Yvb5jSujUuwM3oEDvsZuL8Tgpytdkn/yIMMQlrf5A8tUE8Vbf8LZZRC51pnhoGLfpbqDsrOmE&#10;K2/U/En3nZpXE8LAfRqQQykebTWT8Hij5RZRk7G18qsjeKx5rRkGbjd+Alii+6tpwL+cfmlilRiL&#10;nehMStyl4f0VjtBXx9S5UkyJnfM8pBeLu90iGYZhGOa1i7om8MhIUKAw0WhPR+L2V+Z6tIXQ27AQ&#10;4mdpQ/BI40K3yGlQJqZwDS3hRf2gaGBFGOj9wBvlM+5XaqKettYMrBSFXp2Wf4pUy1zF8ZSjy9Bh&#10;yJKgbrUedIuoiXq/dXO2VUzSaFaq9GlNUhI6b3kkMiQJOZSW4ajcox4IXO8WcVQZ2uC/PicNV+Sm&#10;ZK583GW5oeOPywjEUYaGlxmTNF2LW0RNsqfKB7MhgdckCFnDFbkKmaN73oHXuEvH7zQ02+UWVvkK&#10;6sW2NW4RNYmvlF/N4/H1WBoeZxNM4L2fPC9YtylUfTe0ce9SY4xGOHfSCGatBc9p/2WOImvicZ6p&#10;3eUWyTAMwzCvPWJRcXdcSkVyRf2NZpO5ciVZjpRmQXapHFM/adroFlmT3I36j0YMaa+12qPTiFfD&#10;fl8MonhdE6iboSsLHWXoZpO5XhJSrdkWut2zCN3O91g3l1rlZJoqfDpXlIBp5aHIdAlnVCVl6JIt&#10;Yo966Og2uQ7caNxQIpHDY/LeH6/ctKMI0UTLA2eISfVXwZvdImqSPU8+OCIs/H7EnruNpK0sceWg&#10;jByJHE3jkhXNMHCOKKhfzq8rcqkz5VcHDQOSuE0v3XcstxeftQz+3NWsPeZ+rSbqEWtjfpEcS+N3&#10;adqT2WWuOvpObIGhsAHFi/0sdAzDMMxrj8QG7a5h0QQJrPQo89VDqzAcgMzR70sRFLm/DdUVud5F&#10;2mfGZBRFwFkPNSUNO+h9J4oXCd3+ZOhKS0XBrtBJWiiosvaEMzFw1M7QTWAlPn6XfMAtoibqHY7Q&#10;xaj5EAXDW57dL6+cncKyO/WII3RHKUM3dqX/+kRQ35NC2epBufXeH6/cbKPM2VI5SaN53SJqkj9P&#10;PjDYSnPH0RxxARQngdJGU5FUyxw1rVJGjkRurMUqqK6T64pcbrXvGZo+JivweHAbyvj1aCF4GYP6&#10;OZZ0EzLnyEfdr9dkz4PWxhw+Zxl8VmeTObpn+0QOoxuvUZ8WhQHLALXFYqFjGIZhXjtMXGbdlZdT&#10;lSFVfN5KsVbEsILvJMnTBKQWizH1xfoiV5Chx/IoB86yWiQE1eV1oUB1NzRBPiRg4HLfrBm6sUWy&#10;UBBh3K4JK2pqdsXjpcCynJiq6Kn/314zADtvnWVQxIPWzalmMUnl9VCTpd0MHHQySJSxtMtzmoZ7&#10;hQ7xhlYYjhp79hzhQRFj1xg34DVzMnJu7Jvs2I049ZGjbCKeezsKU3almFRft+qKXGypeGgvPgu2&#10;uNplTsU2e6AISRzdPxM6sGwaGBM7c15BvVg/I5e4QP8qlTHV9EnX0TnOshzSSNkSSv7EOn/dDN2e&#10;DaGN2RZ9LE/3HsW7A+9Fl1FjHjo39gndPhGnQRwmqI+z0DEMwzCvASbu899VDBh2lsVbCXp/9gZN&#10;6JrHSjm7UIxN3GFd5hZZk9J58jMkcmmJFaudNZouc31YKXfbWRppC53a7K/fjwqFbmSpLMa0oD0o&#10;op7MUXQGNChGBeycLUN3v/VmEjrK4lDG0WnSo+Mrj6R1Zc5en9aEjDRhOGLuUX9yZDJ0Q1f6r4+f&#10;rFeJHEVZjspBIhcnMcPrU2yTk+rZ4JvdImrSf6Z8YChkQHtDxF61Yeo6OmGPirWzfjRdjQEprQX2&#10;rDSL6pf1M3IDb5RfKVHmEK9dPZnrQZHr1sKQa8Z7f7P1GXfzmmxbo11WkGIkri22ZZWeHe/xlp+r&#10;8vWplDmKUrMB6rNBFjqGYRjm+EV90LprIkL9l0zo1Bbuq/z2NwZRFGJ+MVZ4m6ybkVMXWo/lUXwo&#10;o0My4FTeWKF6yktghd+DlTwJXWdDE9CI2vH3yPoZuj+11hTbRDFty0F1Ze6VObvZVYvAYFDA0B2y&#10;/qCIB90+dHbGBwWmLHAVEZMGlokCgvvqaVgCmWaxR30udFgzdDRqdSBg7KGltypFjqJS5ChIckjk&#10;Civ1SRq16xZRk9QV4iGa5DclIpBGUevC8F5P5/6Z+BpAgcV9rtJQ5OoPdlDXmF+dxD8W6Hi8MleW&#10;uHLE8JlI4vFSVrQQkqDubawrdHBX5MbxFgN+fSKtZDF96hLv9fHKXArv4WAUhe4Ra5NbJMMwDMMc&#10;P6g/979raBnNnYaVnLZkX7NaWawq39cKe4SjbB7tWCjrZuRGNsnPDAekIxZYYVOl7ogcvVaXGReO&#10;0FGWhZpcuxrCsBOFUd3vr9+H7svWmtJC6kM3vWlwSuaoD52JMrcYyzdgtAkr8aet+hm62403D9h9&#10;6KJ2k+s0mRNh6KNJlQUN4DBRQlsg14pC99eHJ0OnPh66PtMi9mRQuGguN6+sVIocBTWt2hm5P7fq&#10;ZuT2brIeGI5IFGh7YmTos1Bg7T5pldeR7rmTkSORGzNDBVqhwy2iJupK85kCNX/jsdAI4dlkzp6c&#10;Gl+34zYva80wvFSAesD6tFtcTdQT1odGluoQx+28x+u9Pl6Z24Zi39vQCrGgGEifIc5yi2QYhmGY&#10;Yx/1vvAVO1soG+dIWTkqK1aqgKcmAHYqvx5XYNL43fGwBPUx/x1ukTVRH238zJhF65tixW0vCVYu&#10;m6b4IKHzjEDdtz8neqnpVAvDSEjC6DvrD4rYdZdYUwyJYlKnDGATdAWmzxNXPYGuBcMByso01hW6&#10;wYutm4uGMRmn7VFyaP3RpC0jeA54TSqjGwWExC/bhkL3rdZDKnTqs6Hr8drtsTObblTeO4rfNSzE&#10;6xVFccbzQ1Hpp1GrH6yfkdt5t3xwOChhO25bbkaeakp27hNJOPUx68N7kddbIHmKr0hN3G4RNRm9&#10;Wj7jCBWVR30NqbyZZKt8Xyo/C0IKYwBlOdlm1JVR9aD/Q8MhGkhjQRLvAz2rNFLWe/+9+3cmoaY/&#10;IkKQ8M0vjt0iznaLZBiGYZhjl86TjIsLIpBPUwd/rMgqoyxb+2KfODgVJDV/UqU8aljj6qnA+90i&#10;pwEAfwC3BR+faJIof5RtczJj5XKnZG6qorWjQlQoaJQqSURWWLbQjdw3yyjXu6w1iahW7KU5z/Ql&#10;08qvlDmKDk1AYRFK6WwZuqutN5PQ0SS5vSjA1OxKQjdN5uz90KS2JpRa5R715dAhETr18cD1CSzP&#10;6a82dX28969LWwgd+ErXeyhiTKrN9fvIUd/B4SZhzw/XY4/enZI5R+joPtFzYNr7LeiLoLRYosjN&#10;Mmr1cvnMkETxxzLmInPdUockRp/evHegRbyTnit3F9NQd5rvT0lz/GBlLoWRk4Fi/wXGxW6RDMMw&#10;DHNsklgl/mFCBmC7Nl0G9klcOdyKsRxxSQIWhUSbL6fUtS1ukdMAeO4NqfXiH4ftWfrDKD5YvjaV&#10;6dlvmdOaUVAittBRdm83CoK6q/46m7vebK1JzvcVY7Z4VpdfKXIUtN5sR8NiR+g+7K8rdGMXWW9O&#10;mXLSzsih/FCGbrrMRaDTpD52dG4BGFkxd6EjkcsslHsy+sJp18d7/+g6ZVBihlqNyT33129a3UlN&#10;qwGJ9yWKxy6wPGrerpY5e8QxnhdlvGiKkuwpokh9FN0iarLzav9Xxi0UQ2q+dyVuZpmrvh9emaPp&#10;cXrwmo7jfR+/XX4HZe4N7m6moX4QbEkKKzcXmZvAe5a9UfyDWyTDMAzDHJuop4Nmqcl4PiNoaaRq&#10;GbCzMG6UMzKVQcJCy0CVRARGThF96sfhGRdnB3jkxNFL/c/Rkk3Uv4sqzgOVuW0Bmg6EZMNpcn3p&#10;xEWwswnF69bGunORqbfMPyvVLEre8r3y0I6yaE+tghX/CM09NkuGrn+jsSkVkHaGLhagfmXONSlH&#10;QkShi+Zew3KpyfXlE00YPv3ghY6aVpMocnm8Bo5YVV8f7/2jfe6Iysk9f1i/Qz+JXD4ioL2hFbrx&#10;eBN4jzrpHGzpckSO3pMcUkaORK4gwyX1pFW3X5m6JfiVAXyuSHZp3ru5ylxMb4UxFMnR94hv0/Pk&#10;7mYa6sNmW3yB3jeXZlaK/FnieaXW1l1PlmEYhmGOCaDvZL2vRX++hBXeVi1iV9gv282HjsSVwysP&#10;lRUjDWgYOseIqR/MvLYnNYsNXWo8N2oaWMGTkFCfOxoxSZmgMEphM8RPFV2xRfpLgzIC2xpQgqhs&#10;jUSTmuiwQsf9liv37bqOvwtBCkUhaxjvdndTk8E7xVn5+bLY1xDAYyUpmS6P1RV7AIqLBKhP1Be6&#10;4UusTTnTmOyhzCaeE8mQ00Q5JUKODJHQRCCOn+9oQaH7p8gBCZ16LHB9XAT30MhRuhfUD66yfIpO&#10;asK2f49yiceTOEOfVFuC9UWOmlaDNLikdd91dZpCnWwjrepA4mjvD99ntDbIt4kiDTJxi6iJ2mJ9&#10;haZwmfbMVEQ3yhkdtz0ZMV6bsdXGS5mI6E5LEmO6hjQAImQPKOnQDCjg9YW7refqNa/uvNe/tBg0&#10;YgW92d52KqrvNcXU+TrRh/uhCaJL+kJInuF7HuDZGdeHZRiGYZhjDnj2ZD25UH9+GCvZlNRtaToQ&#10;maMYQiHLLJUx9dN6GTr4g8mr/d8ZDRiwHWXNHhGJ2w1geTkp4+qfz1igutaauTbjlQEUOqpgO6ly&#10;t8XP6SNWrnxpcX3KQCWoWUxaEGurv3C6ut5ak4uKUg5Fjkbreo+/UubsQKHd1SxBfTLwQbeImqhr&#10;rU1Zy5hMoJzE8FhIRGr1OSMpsbNEDWFaeWGPeiZwiVtEXdTnA2/qadJtkaM+h86xTpe5PotWaWjD&#10;426BoWY5qT5Qv2l1/E4UuShNpdKEEiorxMbp20YiR9ebMrMkdLRsFl0/9XT9CYHH3yO/MipRZmnb&#10;OkHXaBseaxGvSf5s3ytKPWKiRC1IBWUs694fur/t+D6P351N5HbcZ7YVm0VsEJ8FJ9PruT5YVmVM&#10;na8TCV3CmDQguZxE7hIWOYZhGOb4g4Sub5EjdJShO1CZ24YVZkozYPh0ytDNr5uhG73UeI4mAo6J&#10;KGSwMi9gBb7zQ1NZPfhS+KQdreLlLEpcUtJi6tMrX+qH1kvZFNyemgYzMgCZhfWFbvAt4qy+oFYc&#10;skfTVh+/V+ZS1G8Mr0M+jBX8Om2DW0RN7AydDE/SNCEkdLa4eWSiB4+T5JSEjiZlLkojET/dPMUt&#10;oibqa6HrdzQbexIaNRWSwOG547Wnpmpv+dSHkZZBy4RR5N5dv2lVfcL/wHCIBA6vIcoyTQNTlrhy&#10;2E25GLQ/mlMuZ/mKu+6p37RKIqdCJFKeZ6VG0Ojpkh6FobW+lyF38kluESeoTQtXFMLmrjRep/99&#10;A/7eQJH7w0BdkRu608nIOSJnoZh5M3MU1ffb+zyVcH/JFhK5R1jkGIZhmOOXcoauJGjS1QOTORIY&#10;yoiktGaYWCdjaseKuhm6oXXiOztRqvIiHHt1yfTmWfWtSFOmRfs9lZ3SF06rfOM6iRM10dK0I2F7&#10;qhASup5ZMnTdp4izsiI4rQ+dV+Yow5YSrXg+YUj55ej2C/W6mbT+hcamLAodZejsgQRYRlkk6H3S&#10;Fg0aNexEDo83G5S98cu0JW4RVajvh96UaZJ7siSI+F17ihEMEjnqoF8tKiEUmFbIS2ty7NpZRO5P&#10;5P2l03XY2tCK5+jMIUd95OgalEWO3tP+SOhI5FK+QEnVETml2jT1fv9f2hk5O6tGWVXP8+KJHApk&#10;abV4WanFTW4x+1DfCt40skTuHcLjUpv9NNhh5pGrPw235U/2202r9PzZIof3zLmv5etTfa8pKp8l&#10;e0TyGsEixzAMw7w2IKHLLfI9nydBkrSWJ2U5nExWuaJ3wsnclKOycrT7nK2XfSp3fr1BEf9HvcX8&#10;m44LfOe6H01DqY0tY21y2JYD7373iQF+hkGrL2Tx+MZCErIn+853i6jJ9tPEWTkRKBVwGzpeGl1b&#10;HthReU6VUZRytK9FXuoWUZP2Nt+mfmlO9gap+ZJGtDqd7ynK16Z8HiRS1N8vJ/092TOqhU59O3R9&#10;0QjtpoxZp+bM7VYWLSeC8HIDSqFm4D6CkMHvZaJicvgSo77IfazxgZEWGrVK93TqWCiojxw15dK5&#10;OnPTtUASBfHVVg1Fbn79wQ5PiHvUQgEva9R0Sk3hNOCh4lzpdd/9ciIXNRJKfdbvFjGN8Y/L29V9&#10;/m/Sc+J+NA317XBbYaXoy9vPKAncVJSvdzkcuXZeKdpRUhNaEwxT1nEpixzDMAzzGsNucm0SL+Sw&#10;UqfZ9DtQFsoiMVVJV8uOt/IcFCEorjNiSp0yo9DNxp5N5tPjppy0O9Pb+6zY7z4xwM9I5vB3Rdxn&#10;1hJfzpx5gnSLmBHK0BV84VJC13F7V+TqyFwJK/2S9I/mzzHqZuhyiw1b6OxBFhjOaN3pMtdj6Chz&#10;EciJKOSlv1ddZC2m7dX/nX9dfJHY4zR9YuArZeKqZa58H6J4f4KQM+SkunyWjNwng/cPtOnQgXLY&#10;JWi+tqljoXD65OH1dM+3iIKUDflKozfVb1ol4HPipOFrxS+pSXQrSmbKLqO6/EqRo0hJ/1i6SW5x&#10;izhgSOSG18pYCa9hUpQHncwsc+XjKMscZeNyohX6T2WRYxiGYV6jkNC9usD3fA4rvd800MjDiorZ&#10;jmrZqVV50pxyxXWUobvkgIUut0A8NITS0oH7t0e8evZXlrhyDEd0KG3wv+Buvl+kLxJn5QKiVLQF&#10;wFO+J1J4LNT0SkKXOKm+0FGGLiutyRTNxYdCRxk67/XrMZ1lp5IoI5Shi/vkdvWu8PtSq/TdvRpl&#10;x6g/YBDSKHJpWvu0QuQcmQtABo+nf5GcHJtN5D5h2Rk5EjlqNqXpVLzHUz5Pp48cCtciraRum13k&#10;ylCWrbhW/HIAr6Wd6fSWXyFyFJ14DgMof4X14iG3iP2GmlYpI0cit41GO9vPR32Zm5I4Jwp47RL2&#10;YAcWOYZhGOY1DAlddoVvOzW5Tquc3cp/nwTgZ9WVJ00tEQSaa8xucq3Th85L75nzHhq0F2SPoHhE&#10;IIbi491fpchRs+7o1eKXAA9bbhH7TXy+ODvrl6Vp5XsDBSuG55Sj85FydHtbfaErGdYtKHSKMnTd&#10;KGbe60cy12NhGLrd5JrFcgcNFEb8jASQmlYpI+eIXDnKMkdNwyEomnJy77XWLe4ua6I+ad1fOk3Y&#10;TauUkSOR68Lr6j0eZ7oT6iOH8uwLlHbfah3wclZKfcg/sF7+soRySsJULtt+75G5uAzhMUVhRDTB&#10;zlus/RY6ms+wcJq0m1YpI0ci17GfzayV0d/ke4FFjmEYhnldAIWVp6XOnZekgQD2+qiUFULBouk9&#10;KqNSDLxB89CNr0Shm7hiVqErbRAPFWnVgIrtbRnwBE3u26UFYESaUDxH/KJe/6sT4IQZO9AT289q&#10;OCsXlbuSKE80DQrNfeat/L37z4n5o4lZhC7XRk2uwcm01opl4vVDSUvgNewKo1xhGZVhl0tyWn6/&#10;T0zKxxCFDhS9LnzNoJgVo3L2PnJPWfcPtDiL5nvltDLLR0Ejbal5NCWCpfxb6i80X7cfm7ren1gu&#10;fkHzwtGxd+kSOlC4vNeT5vuzByxQ3zUMdY9/VqGjptXi2bIvq7VMK2/qutWOJMoySd0ILS02Xzyf&#10;eGKBzy2WYRiGYV77QGHZaaX1WiqBUtCOwkFCdyAyR5HHyr10OmXoNsw4Hcfed/s/VKLVFCLT+3R5&#10;gyaSzYsA9J8hf0kZIbeIacBPrcDgcvFfnSu1uv2z4AvhOwfaJGx9Qwt02uJaXxaShoCsX4wOX1d/&#10;vrjkqcamAo3ytCdiltCLZZPQTZO5cqaR3tsxJXN2SAtelhrJFuSkpWg6FHcXNRm9VlwzukzamT8a&#10;PTubzKVJEsOyFL+w/gLzibDcMnyK/G+ASwLuR9NQvzjVPxiSv8wGNOgRUbvZ1Xs97b6EKLcxV+YG&#10;adWNT8ycoVO/CJ8yvFr2DQkUOXuZtOrypq5b7SCRK+K1i7X4XqCMs1sswzAMw7x+UP1Llw+tF0kS&#10;OsrQHajMxVBMBkgYLhKvoggYbrH7UHdaD+0KGbAdpae7UmJmiDGs1PNt8heqKzjjkkvwQ6uxb4nx&#10;6xFJ87qFoXiB/y73VzVRTxl35xZLyFFzJO6jniwk7abRFhiMytH8jfUzdGO3W58aj5J8UjYKhc5u&#10;RvXI3CyR0FuggBI2IIOT8dW+uk2rvecbl2R8weHehsXwMko0Tcw8m8zFLF+xfzaR8/vvKsiAcx8v&#10;Fb8GuGFmodsSNAtB8csBFLVt9ryF1deTBI5Ezl7+DMWOno+JhQbseEBudovYh8otaKM/BHLCsEeh&#10;0oAYb3m1rllljEg8RxQ5xRk5hmEY5vUM9K20M3RJjZbYOjCZ6xEB2NZASzdhpRr0/QjghAa32BPU&#10;Y9ZDIwEJcRS5DjuLVKPPVUXQ/gYXyV9SBsgtYhokGn2rxG+GdBIa6nsXhOGgCUMbrPpC97R119BC&#10;aa/TOpssbNNJ6AJQCIvRrk3156GbvFs+PtZk2Bm6LruZur7Mec+f+rL1C0t1La7ftJpAkUtEtFGa&#10;HoRG0cZROjtxf/Vkrk8LldKn1G9a7WoTdxVRiKifWqfWhEKH1/JSA4XukZmF7vqQv7Bc9GU0Z669&#10;yqB59+zBGFiOvcSaKSCJQtcT1HcVTpf7JmlWubZTcmv1voJowmPF76GYt7vPR2VUXrtakZgvOCPH&#10;MAzDMIQqnrx8x5layu5DJ0xop3nF7L5m5XArWMq4VASNkqyMoun7oV3e3eZbJ5dQ/zdv5VwtH70W&#10;TRAchDRW5PkW8cuuq06YOSMHdwSGTvP/OidQ4hpaUECoT5i0BSIdRqFaKeoL3Retu8cX0lqdYdim&#10;WSgvziTA1cc3FSSXI1ExOjxLhk591PzsUFDYzaXU7Ef91Hq1ZminQRB0jhXhrItKnzvCmA3rk/EV&#10;s2TkFhmX4DmPJu3tqstLYhk04TBltTrps4aFKNZhSJqi+OoS3zluETXJn+y/a9/ULW504P0qSgHD&#10;N/hR6J7ZJ+Ze1C/nrxm7SBSyKIBxPN+OhihKHI2mrb6/5YEK9nXRG8eSa33nK7W5uXC+7BtCiauc&#10;ILl6ImD3+fBEB/6uHSV2WJqQaeSMHMMwDMNUAYWzTxtZK1IZlKQuKSFuZ0oOTOZoBYDOiPhl3GcV&#10;nYEHXlmqruztKUpwP8WzfXn1z21h91CmodTdwV3XuyKHEtCjo8Th/rpswQngexRCGYS9t/vf5W5S&#10;E/WUdffAUgnbG2j0Z/WxOcdXHSlLh3xQjo5fY1zsFlET9SAJnYQ+uxM/iZEBcbsPWLWM9NEADz0K&#10;JTzWjDDU1sW+uhm5zjX6xaVGOZrH86MsqLc8ewkw93MSuiRey4IvVHr1rPpNq6mV4l1ZFEuvzMUF&#10;TUESghEsp2+R76/dr9dE/dJak1rqKyQ1PG+819vF9KlmKmXOFrqwGMidI+PUNN1hf+fAZI5GQedM&#10;vPcmZ+QYhmEYpibUhy57nkglNervVN0kaQdWwvVkjpbisiVQC2NlTdOQVG9fWdFTZHE/mVW+guqO&#10;1m0OLF1j/nxQYnkNLbbItQd0FA+nKc+efJiaHBsWwWCTBHVPsH6G7knr3UModEncZvrxVUeX3Sdw&#10;IWQbxcjAfmTo8jIACZp6BY+L5qPzyghlljpR+PpFeDQVNOpm5F5erV9SFHIkh9JFK0bExfTl2Jx+&#10;Znj+eO1J7PIiUIy3zpKRW+m/qxCQkDAoK1otc3TOlJ2jDOKogZLW6vuqu1lN1Nfnr9mx2Fewm1xR&#10;YL331ytzNIVKnLKqeG3s+fqmyVz19t7zLeC17YrqP+WMHMMwDMPUQT1/0vLMMi2VriE7s8kcTSsS&#10;x0qZFujvQRHybl9ZUdOca6Mni4L61vw17q5rkmmSz6Ts7JuJQf27SFxIlKjvGAoASglJJPUn24pC&#10;l2+WMPqeWTJ0X7TuLrZIlCHv8VUHZcN68FxolOuA6R/Nv1Ovm6HLnW58M6sths6GZnsVB6+MUP/B&#10;cdOAxHrtSXeTmvSea1z8arM2Ss3eXXgM3SZNe1JdFgU1rZLQkchRlC7yr3OLqMnEFf535SQN1qDz&#10;QgHG61gZdA+ztBYunjMJ6RAKdGaxfMbdvCbqAWtNYb4s0HqzlfeXwitz1G+yT4Sd48Xn40Bkjs41&#10;u0FLqfipze6uGYZhGIaZCfW9k5bnzhSpnoYWrHxD0I4VO8lSAivkBFa6zitWzh4ZIIGpDJr4tzJs&#10;QUKJyFBn+7AsUGbH3WVNhmTwmYJBfcNIDHAfuH29IEmIaS1QCpuw9y1WXaErbRbv3m1Sky2tuRqF&#10;Tjvz5ZU7FAzhvmIUhTWi3jXztCXZNvEJWn6MJkamvmRTkuIECfCoNGHPLdYn3U2m0bvSuKQg5Uiq&#10;RmaTgiYdTuAx0Tx/CbEIBTEM6TYd1F9ad7tF1CS1QdzVZ19DEiXnek1JFt2bqYEv+wLFq4jHPXJ2&#10;faEbvEus2SEChYKgiX5J2AK2MFYOyKCg1TEqw/vHQOVx0SutmkGTEMcbojB0uUip/jXL3V0yDMMw&#10;DDMbJHTZ5UY6h5UzNZ3GJa1FGqmK8jxqvSQwlCWj6TIqwltZ0wjPHH4vOV8UB2dZHzSxVrdFLicp&#10;K7d/MkdNnH0kN9KyhU5tri90o3ca78610KS9IVvovOJUPr+yjCVR0LJLxKi639o3MrOSTJvv0Xoy&#10;R8JLMjexyf+ou0kVE7daG3JhMZrHbbdq0+WSRI4myqWy2lF0SORUK57nnxrvdouoyeh5/ncVSLht&#10;kTsQmTNh+4lhGG4VsOcmf12ho0maR8xAgSYp3m7oWC4NiKBs3VTQoBpazmwqaMDN1PNS/ccAPVMC&#10;8lhOfrVMUxcAd1cMwzAMw+wv6nvB5ZnVWmpIp4qWMkXefnTU3DkVZSkoR1nyypENCJqpv6Dusupm&#10;5EbWyWcK1NEdJY6CmlX3KzOHQRJCQkcZunyLhIm3Wne6xdZk+L2O0FGGrvrcqMxqGetEIaXpO0pv&#10;Ev/qbl7Ffsvcm2VNmetfLf51EPeR1BfW7HNIGTmnLEeG7IzcLCJX3OB/V56aS22hqr5e3vvllTnq&#10;40frzL6sBaEQkaBuDX7FLbYmxWv851G/xe0NAXuqE+/xT8lk7aC5CMtB67zGNRMKZ8uUKp7OIscw&#10;DMMwB4t6/uTl6ZUiPSKaYQhFpDJKhqyKIVkdoyhko5Yb+D5uieL2M+rPfTZ0k3xm2DLgJZoeBcWp&#10;HCR002WkOroNWujeydBRk+tLJ7ZBbhFKyP2zZ+ioyXV6H7pqGeukedNQUgo3y392N61irpm51Fny&#10;nwsor+24D1r/tfJYKKhplTJyJHIFIwzqK1ZdkVNXWO+i+0JLj9Ekv9OvWX2Zo/VeO+2luyRubzoD&#10;TG4P/oVbfE3Un1vvGj4NJRoFcgDPtTIG8ViqAp+RunEpZeS4aZVhGIZh5oz65vylY5fJLbGVGobP&#10;DW1L4nxtS+4y35aBt8kte99jbtlxm9wy8g4n6P3EO8wtajPGHwe2qCeDW3Y9JVe6RdZkz+3yK6NB&#10;wx712GsvtE7Nq1PRg1JHQrNNiwJNR0JNdCQZ1K+PmoIrRYXkhwZh0BJhpYgA+FN/3Qzd4PvFPaWg&#10;tOeh68ayU6K1qjynzBCkMPZuMn/kblZFrk0+WsJjoX5jziCNqWOhoNURBvHzoTfVzszlLpA/yuK2&#10;1CRN/euoqbEyOoQOfXhtsnicKE11RQ7eb91p7xO3mwr6eSq6dJp3rwXllybvpewr9XcTQAvd03Jd&#10;3sxZlxZCKTOgZ4GoL5HfWX61+nO875/E+/6QuWXsDrmleJNv37NRjiI+N7kr5JbEGt+WxFJ8tlZo&#10;W9L4bBXXyC0DGOp3LUvdIhmGYRiGOdZJXik+QiKXRZGyR27ia6XIUXSjkKRR5lJCQgIljuZVowxW&#10;WpJAkfxVyxf1d0tYNEGvhMwyHeALwbpCp95pvXuMRrlqzXazsLe8A5W5qe2qZW5sBpnLnu+rK3MJ&#10;XcDwIgPUk431Zepd/ndloiimuE09metG0e0xdchSE6wtb3TNaFSrifui86iWuRQ1AWPkpIDYalF3&#10;wAXDMAzDMK8jXlmm3U2iENNoSSyUNq0J5aIFhaNa5mhpqHYUjgzKRGmD6Oxcqg30BHU3Szddvmj6&#10;i4x0MmQvnxiBwWVydqG71bon16RDX4Amwa0uz5G54AFl5ipjrjJXCFOTceM97tdrAnf576QF7jP4&#10;/dlkbjteZ5okuGelNjB6ieikgSNpPP4EhiOj1TIXFxFo1zSMFhilOfU2stAxDMMwzOuexFpxd9ak&#10;VQRoAAJlxFCcUBbaLRoRWS1z1BF/iEY4Xmy8AvCMpT7hP6+4RI73alF42V1If0q8qJxmlJMm6KZp&#10;R2gghRaGHA0aeHyWaUsuMd6do6XGKspzyjzwZtbKmK2ZtZ7M0Uhg9cAsfeTut+yMHIlcF/W7w9d6&#10;MtenR6F4thxX/33meQAPW0Om+UpB0hx5TSjNKLR4zSujg+YeDNNULgG8lk0wZEgY/YDBQscwDMMw&#10;r1dGrzHuLlgGdKO89Qia+qRaOmg0ZUzSpLHUpBqypzXpX+97RanFTW4RJ6gnQhsKYTmeFmFISMMJ&#10;yvLp0yctjssgdDe0wMjpEuDP6mfokm/U7hk0DOhBgWnH8tpx/zSwIoPljm0yZpS5Ado3ZbYkCiru&#10;szLKMjcyw2jWwfXGj4ZRPjtRWntRQGkFCsqU5VDQ1L2zZOTute6k0a5xylKibHVrdN3K5+5MvNuO&#10;5W3H80ngte5taIbiCjGu/mFqmhX1rUhT7nTfK0U8xhQeP00NYl9HLQSd9tJpdE2nIocyV6RRru+v&#10;P8cdwzAMwzCvQdS7rLuLtKwUigN1to+hxHhljiYYpslnaTmrJArf8OniFdWzcp/IlYE7rEsL8+W4&#10;PWKUskd2eQEUjrLMOLHV1FEQJaQsAcVWAfCFcF2hy59vvHsUpSauLbaFbn9kjqYWmU3mxm6qPZqV&#10;BkAMiqg9qpb6rWX0ZhizJOy6s35GbvQ+cWeuGY+TZM7eF5175fk7MkeZtbhYhOUGIbNMjMP/DV3q&#10;FrEP9VSkKdbseyWJskciZw+GQLGkJm6vzLXjfUngtS60otB9njN0DMMwDPO6Qd1v3V1oEU6ne43k&#10;IwxJQfLgSNxUhFAiIpBGmRheaLyinpLTRK6MutXaUIgY4wksqxvLpcxWpchR9GjN9qAImjakHfdb&#10;oozXp4N3uEXUJLZBu4eEjjJ0s8kcTU1SwvIPVuYy5/h+NEACi+edkoY7t5tVPyP3gHXnYJhGpdI5&#10;OlOM2JPu2hk6R+LKQRk5ErnCQn1cfaL2xMfEyEbZlLDE9pyM4PXCc0ehS4npMkfXspOaZBsiMLEY&#10;j/WRwPVuEQzDMAzDvFZRXwzePbAIRYvEytLtEZIpQVONhKfJXK8hIKstgqH5xisjd88scmXUFdaG&#10;bNgY79RoRYfpMtfe4ExkS1JFffO2NeBrROzJn1Z/NYrSJYbd5EqrXhwKmRu5qXYzaxxlroT7oClV&#10;stIE9dAsIvfF4J1Fmk5FF9CBAus0rdI6rTS1ynSZizVEIbdM1BW5Mur/u+yMUdMcpftC4uv0aayW&#10;uU7cRweWSZP8xrQAZIS/FD9PnO0WwTAMwzDMaw114/xLRoIm9GlR6JE1BhhoS1HqWqDLlg/DnqA3&#10;E5Q92Y2zi1yZieutDXnTGI+h1NAC9dR/jpbBSqEcVQ4osAcVoADF9WbIikA+1SxWu0XUJLZOu2cY&#10;ha6A4rnjcvlD9+Mq0lHfo4MiAjEUOcquec9vtszc4Hr5wyRKqN0P7d2ziNxXg3cWJEmvCds1mn+P&#10;Jimu3t+LdlMrCqxAsUR5zlEfuY+EZhW5Mup5vF9R/yjJHGXnpsm2JwoofnkZKI7eVl+OGYZhGIY5&#10;Dmlf4jsnZcpCN4paN8oBZY+88kGjK2kC4A6NRku2wOBKY0x9N3i+W8R+o24Obcih0NEUJ7SSAY2E&#10;JaHzylwXCaUte2EUOqvQdY6ou8xY7BRxz5gegYGbfC+4H1WROc336BCWZc/VNu3cpmRupsxc5mzf&#10;CzuNIGSvEPVF7nPWnek2ypTRiFmaQsREaaURp9X7I5Hr1Fsgg+efX35gIldGfSpwSaZVjPVqlJms&#10;L3POOqsmFKKiuPsu8xy3CIZhGIZhjnf6b/Kdm7NkMStaUDpouStaLmp65ormmKP+XklDwOASOUqZ&#10;IbeIA6awQW7MWcY4TRFC03pQhm6azOF+7Ayh/btmKJpmvnNF/QxdR5P+R6W3+/7N/bGKzEXy0REZ&#10;wPJoTrbpcjWbzOUuFj9LrBV/5P5YE/VU8I6hJuojF7UzciRyzhq21F+uen+UkSORG2qT4xMfkxvd&#10;Ig4Y9ZnAJalGOTqbzPXgcbSjkKdQoothWVSPNZ3nFsEwDMMwzPEKwCN68jzRG9OaodOg6S2o6Y/m&#10;TZsuO126sNcRzS+Wo7s/YtQVuWSb9rne5fo73B9rMni1ZQsdZeioydUrcyQgJHSUobObXFG0ipbM&#10;bz23vtCpP2tsdd9WUXiTfHSUplJBsaIpUrznN9XMOl3mAOAP1O+vPN39sSbUtJptE9DZEMbrt9Bu&#10;WqWMHImck6Gr3h81rVJGbjaR2/Vu8+nhdf4vuT/WZPdVxiV9emOV0HllLiYEdOB97cD7PIzXd3ur&#10;XnMNW4ZhGIZhjiOU+rwsnCtyPRpljsoT0LpyQ1Nl4CsJSQqjFyUgYcrRiQ9OnzKjEpS9x8dEGJLS&#10;hITlu9H9uCaFDdbGtCXHk7RP3B9l4npQ4EhGaDSmHSgeTgQhpTdBQcpZ+9DVYuRq+eigdMqjfn/7&#10;pMoNksVBlLyZMnP1oIxcQdLAgyDQYvs0fUnlhL4UXfgZSV0X7p9GAOeiYnzPg1ZdkVP3N35mrEnA&#10;hIjCyI3ycffjmoxcIi8tRMRokka4aiSTzoL85X6JNPqY5saj1yLem27d/L67KcMwDMMwxysAj4jM&#10;OTJdS+biWjPKBw12CEB3w0LIN8rR/uvqZ+SKF8nHi2EBnZqEAkpEvyUnEyf7bnJ/XZOOtdpGlEUU&#10;umYUqgD0otB1o9B5Za6HZFIYkJWWLXSD6w5M6A6XzKlnTnvbWKthi5ydAcPyaZRppchRkMzRmqpp&#10;PIdiozH+6tVafZH7Q+uxwWZnLdrfNhh4bEGY3BSoK3Qvn6ZfUjLMvdvwfpLI0XnF8Bo6EzVXy9yr&#10;uvn/3M0YhmEYhjleqZY5j9xoTXZmLomSkxDWSGGVVT8jd7Pv8VFToshFIIHiQasS5FDKbKGbJUMX&#10;WyMvy0trPCNDttA5o2nLGTlX5kwdeu0RsIadocsHUOjevf9CdzhkjvrwZcO+oZhOc+PRsmaOyFEm&#10;zCtz1HSdxXPILRXjE9dZl7lF1ARF7tF8i4CXUOLsfoUodHEhYaeMAjwQrCt06iPBLQPNzkhhEjk6&#10;N2egCa0UEWGZYxiGYZjXEvVkrkc3IY3SVAygUJwnL3c3qcnEh/x/Oi4lZFFkuoTTXJowpD2fHGXo&#10;EtKc7Fs5r67QZRbKjXnDtDN09oTFKB2VESchQhmiDB0dX0ZasCNo5nO37p/QDV1ZX+bsPnMHIHO5&#10;c63VCeHLp1DkaEAFNa2WRY4ydF6Zo6bqUtAYn3jTLE2rKHKDyyRsQynuDNBcfyS4JrSjiLXjfdpt&#10;GKBuDL3P/XpN1KcaH6Dlw0joSOSoyZVljmEYhmFeg5DMZc+V6W7NEZDKiKGU5VoFqE/5H3C/XhN1&#10;X+OjNGVHuVlvnxx5ImmYk4WTjbpC9+pyeVlWmuN9QZIYlBEUQspIJbQaK1AIGjXaDANhmR+9xZpV&#10;6MaudUaz0qTBfTXmfaO1TosRAZnLfbPKXN8KsbpPC+Yrj8c7CTCtdEHXlRa+T+HPxflyfPAGWT8j&#10;9/7GRycCJmxvWIjHVC2z1ERKg1NodGy/MHfnWow3u5vVRN1pPTAaRClsaLWzgnSMnbg9vRZRWrsE&#10;yxzDMAzDHPeQzOVmkLlsREyqjza+1/1qTXrafG/ONwmUqlZbiCqjUnQokigUfcKYTKyq3+RKGToS&#10;Ont5L1c+4nZfr+ryEhjUn4+W1iKhS83S5DqbzNHSWANhAaVN9TNzJHIFGagSOYrpMkf7iUIGyy0Z&#10;xvjETfUzcqXbxIcmmmnwAo3cnd7MXClzGWFCSZow9vZZhO52/wcKlpzs0p259VjmGIZhGOY1Rj2Z&#10;y1lismeZttn9ak36l/nOLUiZSusRFI5qOaoUHYqEvhC6GyyUEGvv2A2zZ+iSUo7RtB4kctR3z1se&#10;ra7QjVJGQpfQohBv8eVG6zS5ziZzCRSk4ZCEsbtmljkSuZIvmivQShL2MUzFNJnD4yKRy7eJ8T2z&#10;9JFLr/TdmDPFHupv+LJG2cgmPKb6Mje4QKbHbvOd6xZRk8k7zb9GmVMscwzDMAzzGoVkrrBW9teS&#10;OVpkvyiDUGqqP1Fu9/laWzIqYl45qhQdih4Uvg4pIB7RYMAwJhNX1O9DlzxHXJ2NGnZzKy1Q7y2v&#10;y9Tx1bQzdNTkmtJaIREV+f53+GqubjCbzJEkUbOketCqKXOFNb5zssLKZ0QYxa/W8lnVMkdNq5SR&#10;2x+RS0S0yZi2GGiN1e0a9Tukfnb1ZM4fm9hktrlFTAPv64lwp/+5es2sndxnjmEYhmGOf5R6wpdc&#10;LRJJWxSqZY7mmUvqLZBHocssEh9yN6nJ1hVmW26pHO3SLNimtaAwmfbkvHa45ZUHAjiyY2K51t6d&#10;VwZucIuoifqk9aGxFokCQ5KDwonS1osyQ4MVvDJGwjOAwljYJH/sbl4FydywLXN0PNMn8aWBAQWj&#10;jsydJ3+c0yljFrHPr3JwAwUtaE+jbXvweiVp9GmjPk4ZRnfzmmQXGTdkA2JvkpZKqzoeLBOvXWX0&#10;agEoihZIWTKuPjyzyBHZDeLPKavprDxBx0bHGLZHGtNrEa9f0pIscwzDMAxzvEMrG6Sk70cDJEko&#10;EVWBAkVrtNIIVRK60Uv8dYVOfTt0/cB5vmJGNqEYtcwicxYkJIW5t+vchlvdImqiHrL+aCwqYfuJ&#10;JCIoY5LmXqPRrpXyQxGCEk1Z8mb5L+6mVVTKHI3U9W5PMleqJ3Pr5L/kbZkLzyBztKi+tOeRywhr&#10;PDaLyPX7/bfn9chk2p4kmbJv1cfjlbmsiEK/z3gpvk47xS2iJp0o3gWLBDiA9w/Pd98xVsqcyTLH&#10;MAzDMK8Vtmvz/2lYTm9mpZUY+qhZFIWAMnRjlgGlM8VD7mY1GVxjfCujGyhbNOFwdXlliStHNwoM&#10;oFTE36h9h6TSLaIm6lModGGUJJIRS0C7dKYnqQ5H5nKb5I/czaqYq8xlz5c/qidzHbh9BmUzHzTG&#10;O2YROTrf7MXyx+PShG0aTSg8/XimyxyK9RnG024RNWk/XX9owF6yjJqRqWmV1qEtZ+hY5hiGYRjm&#10;Nck2qf2/nGh1hWsqqG8VCR1l6Gipre16xJadzrXzambohpb7P5XULUV92No1Oa28apkzYVigIF7v&#10;/4lSH/K7RdRFfcT6o4IQu+N4LD2at1mSYv9lbqZm1noyl7ugLHO1m1lpLriiL7wjtqy+yJUBuM9I&#10;nu97flQGYavdh4/KKR8Pvq8QOQqaZ28Iv5u7yfcpt4gqUs3iQzk8/iSKHIml07TqrA2bpjKqZI6b&#10;WRmGYRjmNQNNHkuT5TqL7E9FpehQUB+6lN4MBRSi/kXVGbrhs4xHaNLcKXGbvj1NqPsSykUXymFO&#10;NMHYG8XzSm3R3CL2i1iL73cZEqqqPnOOtPTQPjB2vdU4qMwcjZgtmXWaWc+XP8rg+ZPk9tkyV719&#10;Cs85e478H/fr+wWdf//p4vmMCOExUb9FE1916BHatPJ7cJ90XScMA/beLB5xi7BJNIuHSDArg+S2&#10;MuIood006peknK7fYpY5hmEYhnlN4MgcZdLqyxytmUorCmQlDRSwoLBePkjbD71DfnIoOD0T590+&#10;jtv1CIkiF4Khc0jknj4gkSP6muWvHZmrlKlqmRu/5fDJXHYWmcucLX7jfn2/UarNFroiHlcCJYua&#10;nym76S2fMmr2kmDCgKGoBHjQ+iRtn10gH8zidrPJXIxljmEYhmFem5DMDeyHzJX70JFw0JJbadxm&#10;6DT/v6SCAlJi+mhY7/bbNZQIFIl8m3hBqasOWOSIvmbxmymZcyTuwGSOROfwZeYyqw5c5gh49mR9&#10;KGS8kMbr2Kc1QxKP0Vt+L8ocDfwgoetDKcs3Scivkv+S1On6R2eVOc7MMQzDMMxrFJK50n40s5Ls&#10;2H3oUOhiKBUdWhNkUdB6dQMFJ+puV5a56dvv0lugr/XgRY6Ykrlqkdt/mTu8zawHK3MECd3YWtmd&#10;0Uh86Zyqy6cJkvu0Vntwg9PkGkY5DttZvAQK2mwyF7NlkGWOYRiGYV5zdOot/zokAvvWQk2gLMSw&#10;0q8esICVPwmCLQmOPFVm4WpFD5bXiWJCi7tnhIB0o/GvcMfJurvbgyIVlL+xO/NjeI+vFwUzrYVg&#10;YtPBydxsAyCKbjMrSV8tmUtjZOcgcwQUlp2Wv0xLFQRJl2VPw0J9DDtQvmhkagzP2361z5myoVPh&#10;PZ5ykHxSdKAMOtOVGCjheI/a9H91d8swDMMwzPHMwHrxzmxYogyhwLkrQVCmxytLBypzNLkvTYuR&#10;wO+OrDVS8PLCRneXB83+yNyug8zMHQsyR6hfnbYsvUxLJbQmOxvXhfJF/ehskaPAcz0YmaPj7rLv&#10;Rxh2R/A8bw+8090lwzAMwzDHO8WN4u6MQc2lJEUhO0vnlaWyxO2vzHULAQlqFjxPS6vUqae6u5oT&#10;R1PmcufMJnOBQyJzhPrr0KmlxTIdl7rdf45GuZYlbn9lrixx5aBRsiTWowED1L3G3e6uGIZhGIZ5&#10;rTB0gf+ueJNEEXCaXL2ydKAyl0Sxyq3UUurboUMicsTRbGY9kjJHqPf6T81ERKqgL4ROi9ahnZvM&#10;dZwYhSHTgL13Wne5u2AYhmEY5rXGtou0u9OSmkepw30ApYeC5IcErVIepstb+XedDS1QoNGxi2X6&#10;UIockYwIV+amyxQdYwpjtgEQ1PRLC+1PHbcjgyRp+zMAYiaZo31nzpaHTOYI9d7Qqb1NIk1C16tH&#10;8J6Y0KEF8LXyuteODpTbHs1AMcd7iK8jIQmjH+CMHMMwDMO85olFxd0FSYvlh1BapkSpWuZqCR0J&#10;URgG9RBkIzIF7zFOc4s8ZLzeZI7oWGmcljJlKqsvgiT1naMRxfYxV1776UH3j46pD1+TAR1iGwWL&#10;HMMwDMO8XkgvNO7OygjQ/HFOsyQ1a9aXuQ6MhG5CLizSQ1f6D2lGrsyhlTlH4g6pzJ156GWOUB8L&#10;XJw9g5paMSxaL7eWTFcHLfifxeOMLdFg+CrOyDEMwzDM646iMd8WOpK5rn2SUFvkKNIoSAUpCx3L&#10;5h3yjFyZ2WRuf+aZO1iZo7VZMzpNGYL7O8IyR8BfB2/JNwsVQ7HuQ6msdQ8qgwZODIYlpC/ijBzD&#10;MAzDvG6hJtesiNpzz20XAoWJJp9tsoWoB3+Ok1jgK0lOeiWK0J/6r3U3PSy8HptZK4HPBW8pBGi+&#10;uIX2qONuQ4cuU8fjpylLmqDb0vFYLLxfEoqtAvIXcUaOYRiGYV73DDYZKHRhlJUoCoOzIDyt85kQ&#10;IWhvWAgJLQz5lVLB56xb3E0OG0db5uqNZj0SMkfAB61bMjKoEnQ/8Di6DWELHTWJd2omJPSFkA2x&#10;yDEMwzAMU0HPMvHuWFCHLk1DYSCZCkOv1gI9KHKDrQLUH5pvcb96WDmazaxHs8+cl5Er5Vty0gK6&#10;FrbQSR3vh4nnH4Yxy4D0pdy0yjAMwzCMh13XyccLEYFCF4EOIWG71gxF2aTgHYc/I1eGZW6K1GLj&#10;lqy07AwdNblmRQQGaLDKAvFu9ysMwzAMwzDVTN7jf2YkLKFHWwjpkAB1zZHJyJXhZtZqepvlW/J4&#10;Tu0nNsGIlBBbzCLHMAzDMMws7N5s/s2OFjHZsUo/oiJHsMxNZ/I+6/GxoKESjSxyDMMwDMPsBwCP&#10;/B/1Wess98cjytFuZp1V5o5gM2sl6lHzHPctwzAMwzDMscvRlDmaZ+5YlTmGYRiGYZjjgqPZzOpM&#10;GnzsNbMyDMMwDMMcN3CfOYZhGIZhmOOYQytzB9bMeiz3mWMYhmEYhjku4D5zDMMwDMMwxzFHu5mV&#10;+8wxDMMwDMPMAZY5hmEYhmGY45ij3WfuWFrOi2EYhmEY5rjjaPeZy+hRljmGYRiGYZiDhZtZGYZh&#10;GIZhjmOOtszxPHMMwzAMwzBz4Gg2s3KfOYZhGIZhmDnCMscwDMMwDHMcw82sDMMwDMMwxzEscwzD&#10;MAzDMMcxR7uZlZfzYhiGYRiGmQNHU+Z4bVaGYRiGYZg5cjSbWZ1Jg7mZlWEYhmEY5qDhPnMMwzAM&#10;wzDHMYdW5g6smZX7zDEMwzAMw8wR7jPHMAzDMAxzHHO0m1m5zxzDMAzDMMwcYJljGIZhGIY5jjna&#10;feZ4OS+GYRiGYZg5cLT7zGX0KMscwzAMwzDMwcLNrAzDMAzDMMcxR1vmeJ45hmEYhmGYOXA0m1m5&#10;zxzDMAzDMMwcYZljGIZhGIY5juFmVoZhGIZhmOMYljmGYRiGYZjjmKPdzMrLeTEMwzAMw8yBoylz&#10;vDYrwzAMwzDMHDmazazOpMHczMowDMMwDHPQcJ85hmEYhmGY45hDK3MH1szKfeYYhmEYhmHmCPeZ&#10;YxiGYRiGOY6ZS2aucJPv0TEpbZnrCOrTtt+fzBz3mWMYhmEYhpkDc5G5kdvlo2OWhJgIQrcppm1P&#10;kjbAMscwDMMwDHP4mIvMqff7Hx0LksyFIF5je1vmjDnKHDezMgzDMAzDzMxc+syph61Hx8ISvxeG&#10;hAhP2z6mh+rKnDM1SZRljmEYhmEY5mCZU2buQf+jw9KAuHCEzrs9SRr3mWMYhmEYhjmMzE3mrFll&#10;brY+czzPHMMwDMMwzByYUzMrStqQNOvLHPeZYxiGYRiGOXzMVebqZeZm6zPHMscwDMMwDDNHDncz&#10;Ky/nxTAMwzAMcxiZq8zN2szKMscwDMMwDHP4ONp95ng5L4ZhGIZhmDlwNPvM8dqsDMMwDMMwc+Ro&#10;9plzJg3mZlaGYRiGYZiD5nDLHPeZYxiGYRiGOYwc9gEQ3GeOYRiGYRjm8MF95hiGYRiGYY5jUkH5&#10;m4xOMofhkakelLH9bWbtxe96tydJ47VZGYZhGIZhDiNzlbmhWWRutj5zLHMMwzAMwzBz4HBn5uYs&#10;c9zMyjAMwzAMMzNHU+acqUmiLHMMwzAMwzAHC/eZYxiGYRiGOY452s2sPM8cwzAMwzDMHOA+cwzD&#10;MAzDMMcxLHMMwzAMwzDHMUe7zxw3szIMwzAMw8wB7jPHMAzDMAxzHHPMyxw3szIMwzAMw8zM0ZQ5&#10;XpuVYRiGYRhmjqQa5W9Imo5Gnzln0mBuZmUYhmEYhjlo4kH5+6yolqhycJ85hmEYhmGYY5xey/fN&#10;ogihjFnTZIr7zDEMwzAMwxzjdJm+PxuUEeg+CjKXW+9jmWMYhmEYhpkLnVroqaJA8cKIoZA5Qe9R&#10;5jSUOYxdb51d5nr08DQZO7DMnIVC6OyXXikyeCxZljmGYRiGYZiZ6dQbjxmZK++XZY5hGIZhGGY/&#10;qZa56jgUMrf/K0A4mbnKYJljGIZhGIaZBZY5hmEYhmGY4xjqM1eyZY5kjAYxTEWvCKDMmTB+jTmj&#10;zA2hzMWEUVPmqIySUV/m7HnmaI47lDnv/rMoktmzNZY5hmEYhmGYmagncz0oZFndguFrZs7MDUqz&#10;fmZuLjKnN8Hg6fK/3a8zDMMwDMMwXrbXkbluPQAllKziNfKgZI4GU8wmc3Yz64wyF4H+s8Sr6htN&#10;/38799MaxRkHcNxDYWfnmcyuWVaLUErfgvgXSo89+UIKe6jHes9JSg0IRdpbEQTveQVevfSgTbOY&#10;JtGiTWyCbdNW2u7T56mbuKPZNShCD58P/NhlmWdnjl9mmCeMlwAAMGlWzK0UnfgkhdbDj9szY+5N&#10;HrPOirm1FJPLrd5fd94t3h8vAQBg0t3W0cXtFFIbOaheirE6bqao2joz+wWIjdfcmuTR+fbST8Wx&#10;FHNVirmwv27vBYj8UsZyUf05LIr3xksAAJh0mJh7fIiYW30LMZev6TsxBwAw3ZvHXJgZc7O2Jnkx&#10;5vYibm/ynTkxBwAww+yYqw59Z27q26xiDgDg7RmW/cXt0ImrOahSQDVjrI47ZS/+eOrgFyD+uRgW&#10;fqtCDq4UX93GhsN57udtTUIdR5fmDo65c+2lnRRz99LajXT+tTK/TDE5/Tgs5sUcAMA0P5S9xZ1Q&#10;pWgq40rRTzO/P/kxa465rdNTtia5OLewm2JtOcVYfsz6fdFrzCtjLv3vz+WJdO5jcT0dl8Jtf/Ie&#10;d3lrk2HRFXMAANMsF/Xik7KM98riv61IVlKYPZtOCqoqPk5BtX5y2tYkcwtP6yqtreP9snlX7jB3&#10;5tZPFUubOQJb3biWryHF4+RspPXDlsesAABTrbfD17Fbxd35Kv5eNWe37sVYHY+b58pb48MbRpfq&#10;K3/3Q3xQlXGzrOJWCGny57Pvz2OuvjJe0vDrR+WtGDrxURni9nyIf3SqxjxN599O17Fa2GcOAOBA&#10;v3xefTj6pjcYfREGo8t1Y3Yvp9++St+vf3BhfHjDw0/bZ7eOh8Ht+p3B3VYYDNvN+bbVHzwI6X8+&#10;mzs7XtIwunHiwuhaOvfVdI4vu+ka0meevWvI13S1/iTe7FfjJ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8P9y5Mi/pyvTzaI9Fd0AAAAASUVORK5CYIJQSwECLQAUAAYA&#10;CAAAACEAsYJntgoBAAATAgAAEwAAAAAAAAAAAAAAAAAAAAAAW0NvbnRlbnRfVHlwZXNdLnhtbFBL&#10;AQItABQABgAIAAAAIQA4/SH/1gAAAJQBAAALAAAAAAAAAAAAAAAAADsBAABfcmVscy8ucmVsc1BL&#10;AQItABQABgAIAAAAIQB0CrtEOAQAADMJAAAOAAAAAAAAAAAAAAAAADoCAABkcnMvZTJvRG9jLnht&#10;bFBLAQItABQABgAIAAAAIQCqJg6+vAAAACEBAAAZAAAAAAAAAAAAAAAAAJ4GAABkcnMvX3JlbHMv&#10;ZTJvRG9jLnhtbC5yZWxzUEsBAi0AFAAGAAgAAAAhAJL20TPfAAAABwEAAA8AAAAAAAAAAAAAAAAA&#10;kQcAAGRycy9kb3ducmV2LnhtbFBLAQItAAoAAAAAAAAAIQAmnDe7ZawAAGWsAAAUAAAAAAAAAAAA&#10;AAAAAJ0IAABkcnMvbWVkaWEvaW1hZ2UxLnBuZ1BLBQYAAAAABgAGAHwBAAA0tQAAAAA=&#10;">
                <v:line id="Прямая соединительная линия 3" o:spid="_x0000_s1027" style="position:absolute;flip:x;visibility:visible;mso-wrap-style:square" from="3595,9202" to="69122,9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CK+8IAAADaAAAADwAAAGRycy9kb3ducmV2LnhtbESP0WoCMRRE3wv9h3CFvhRNbKGU1ShW&#10;KKzQF3U/4Da5boKbm2WT6rZf3xSEPg4zc4ZZrsfQiQsNyUfWMJ8pEMQmWs+thub4Pn0FkTKyxS4y&#10;afimBOvV/d0SKxuvvKfLIbeiQDhVqMHl3FdSJuMoYJrFnrh4pzgEzEUOrbQDXgs8dPJJqRcZ0HNZ&#10;cNjT1pE5H76CBhXiT9MwuccP9WbMp9/Vvt5p/TAZNwsQmcb8H761a6vhGf6ulBs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CK+8IAAADaAAAADwAAAAAAAAAAAAAA&#10;AAChAgAAZHJzL2Rvd25yZXYueG1sUEsFBgAAAAAEAAQA+QAAAJADAAAAAA==&#10;" strokeweight="3.25pt">
                  <v:stroke joinstyle="bevel"/>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8" type="#_x0000_t75" style="position:absolute;left:64398;width:8330;height:9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rKQ/CAAAA2gAAAA8AAABkcnMvZG93bnJldi54bWxEj9FqwkAURN+F/sNyC77pxqI2RFexguBL&#10;lab9gEv2mgSzd2N2TaJf3xUEH4eZOcMs172pREuNKy0rmIwjEMSZ1SXnCv5+d6MYhPPIGivLpOBG&#10;Dtart8ESE207/qE29bkIEHYJKii8rxMpXVaQQTe2NXHwTrYx6INscqkb7ALcVPIjiubSYMlhocCa&#10;tgVl5/RqFMzsd9Z+dkdTHmQaf90v+9jMpkoN3/vNAoSn3r/Cz/ZeK5jC40q4AXL1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6ykPwgAAANoAAAAPAAAAAAAAAAAAAAAAAJ8C&#10;AABkcnMvZG93bnJldi54bWxQSwUGAAAAAAQABAD3AAAAjgMAAAAA&#10;">
                  <v:imagedata r:id="rId10" o:title="" cropbottom="14536f" cropleft="18379f" cropright="18313f"/>
                  <v:path arrowok="t"/>
                </v:shape>
              </v:group>
            </w:pict>
          </mc:Fallback>
        </mc:AlternateContent>
      </w:r>
      <w:r w:rsidR="000D55A5">
        <w:rPr>
          <w:rFonts w:ascii="Arial" w:hAnsi="Arial" w:cs="Arial"/>
          <w:color w:val="002060"/>
          <w:sz w:val="32"/>
          <w:szCs w:val="32"/>
        </w:rPr>
        <w:t>8</w:t>
      </w:r>
      <w:r w:rsidR="00656206" w:rsidRPr="00E8667F">
        <w:rPr>
          <w:rFonts w:ascii="Arial" w:hAnsi="Arial" w:cs="Arial"/>
          <w:color w:val="002060"/>
          <w:sz w:val="32"/>
          <w:szCs w:val="32"/>
        </w:rPr>
        <w:t xml:space="preserve">. </w:t>
      </w:r>
      <w:r w:rsidR="008B0F0B" w:rsidRPr="00A11CAC">
        <w:rPr>
          <w:rFonts w:ascii="Arial" w:hAnsi="Arial" w:cs="Arial"/>
          <w:color w:val="002060"/>
          <w:sz w:val="32"/>
          <w:szCs w:val="32"/>
        </w:rPr>
        <w:t>Потребительский рынок</w:t>
      </w:r>
    </w:p>
    <w:p w:rsidR="008B7B67" w:rsidRPr="00A11CAC" w:rsidRDefault="008B7B67" w:rsidP="00E85EB6">
      <w:pPr>
        <w:ind w:firstLine="708"/>
        <w:jc w:val="both"/>
        <w:rPr>
          <w:rFonts w:ascii="Arial" w:hAnsi="Arial" w:cs="Arial"/>
          <w:bCs/>
        </w:rPr>
      </w:pPr>
    </w:p>
    <w:p w:rsidR="008B7B67" w:rsidRPr="00A11CAC" w:rsidRDefault="008B7B67" w:rsidP="00E85EB6">
      <w:pPr>
        <w:ind w:firstLine="708"/>
        <w:jc w:val="both"/>
        <w:rPr>
          <w:rFonts w:ascii="Arial" w:hAnsi="Arial" w:cs="Arial"/>
          <w:bCs/>
        </w:rPr>
      </w:pPr>
    </w:p>
    <w:p w:rsidR="00AC3227" w:rsidRPr="00814F5C" w:rsidRDefault="00AF3CF3" w:rsidP="00493B16">
      <w:pPr>
        <w:ind w:firstLine="709"/>
        <w:contextualSpacing/>
        <w:jc w:val="both"/>
        <w:rPr>
          <w:rFonts w:ascii="Arial" w:hAnsi="Arial" w:cs="Arial"/>
          <w:color w:val="000000"/>
        </w:rPr>
      </w:pPr>
      <w:r w:rsidRPr="00814F5C">
        <w:rPr>
          <w:rFonts w:ascii="Arial" w:hAnsi="Arial" w:cs="Arial"/>
          <w:color w:val="000000"/>
        </w:rPr>
        <w:t>В Чувашской Республике насчитывается более 6,</w:t>
      </w:r>
      <w:r w:rsidR="00877390" w:rsidRPr="00814F5C">
        <w:rPr>
          <w:rFonts w:ascii="Arial" w:hAnsi="Arial" w:cs="Arial"/>
          <w:color w:val="000000"/>
        </w:rPr>
        <w:t>4</w:t>
      </w:r>
      <w:r w:rsidRPr="00814F5C">
        <w:rPr>
          <w:rFonts w:ascii="Arial" w:hAnsi="Arial" w:cs="Arial"/>
          <w:color w:val="000000"/>
        </w:rPr>
        <w:t xml:space="preserve"> тыс. объектов розничной торговли, </w:t>
      </w:r>
      <w:r w:rsidR="00877390" w:rsidRPr="00814F5C">
        <w:rPr>
          <w:rFonts w:ascii="Arial" w:hAnsi="Arial" w:cs="Arial"/>
          <w:color w:val="000000"/>
        </w:rPr>
        <w:t>977</w:t>
      </w:r>
      <w:r w:rsidRPr="00814F5C">
        <w:rPr>
          <w:rFonts w:ascii="Arial" w:hAnsi="Arial" w:cs="Arial"/>
          <w:color w:val="000000"/>
        </w:rPr>
        <w:t xml:space="preserve"> объектов общественного питания и 2,3 тыс. объектов бытового о</w:t>
      </w:r>
      <w:r w:rsidRPr="00814F5C">
        <w:rPr>
          <w:rFonts w:ascii="Arial" w:hAnsi="Arial" w:cs="Arial"/>
          <w:color w:val="000000"/>
        </w:rPr>
        <w:t>б</w:t>
      </w:r>
      <w:r w:rsidRPr="00814F5C">
        <w:rPr>
          <w:rFonts w:ascii="Arial" w:hAnsi="Arial" w:cs="Arial"/>
          <w:color w:val="000000"/>
        </w:rPr>
        <w:t>служивания.</w:t>
      </w:r>
    </w:p>
    <w:p w:rsidR="001C4EEA" w:rsidRPr="00814F5C" w:rsidRDefault="00493B16" w:rsidP="001C4EEA">
      <w:pPr>
        <w:ind w:firstLine="709"/>
        <w:jc w:val="both"/>
        <w:rPr>
          <w:rFonts w:ascii="Arial" w:hAnsi="Arial" w:cs="Arial"/>
          <w:bCs/>
        </w:rPr>
      </w:pPr>
      <w:r w:rsidRPr="00814F5C">
        <w:rPr>
          <w:rFonts w:ascii="Arial" w:hAnsi="Arial" w:cs="Arial"/>
          <w:bCs/>
        </w:rPr>
        <w:t xml:space="preserve">Динамика </w:t>
      </w:r>
      <w:r w:rsidRPr="00814F5C">
        <w:rPr>
          <w:rFonts w:ascii="Arial" w:hAnsi="Arial" w:cs="Arial"/>
          <w:color w:val="000000"/>
        </w:rPr>
        <w:t xml:space="preserve">показателей развития торговли и сферы платных услуг </w:t>
      </w:r>
      <w:r w:rsidRPr="00814F5C">
        <w:rPr>
          <w:rFonts w:ascii="Arial" w:hAnsi="Arial" w:cs="Arial"/>
          <w:bCs/>
        </w:rPr>
        <w:t>Чува</w:t>
      </w:r>
      <w:r w:rsidRPr="00814F5C">
        <w:rPr>
          <w:rFonts w:ascii="Arial" w:hAnsi="Arial" w:cs="Arial"/>
          <w:bCs/>
        </w:rPr>
        <w:t>ш</w:t>
      </w:r>
      <w:r w:rsidRPr="00814F5C">
        <w:rPr>
          <w:rFonts w:ascii="Arial" w:hAnsi="Arial" w:cs="Arial"/>
          <w:bCs/>
        </w:rPr>
        <w:t xml:space="preserve">ской Республики </w:t>
      </w:r>
      <w:r w:rsidR="00877390" w:rsidRPr="00814F5C">
        <w:rPr>
          <w:rFonts w:ascii="Arial" w:hAnsi="Arial" w:cs="Arial"/>
          <w:bCs/>
        </w:rPr>
        <w:t>в</w:t>
      </w:r>
      <w:r w:rsidR="00B91E35" w:rsidRPr="00814F5C">
        <w:rPr>
          <w:rFonts w:ascii="Arial" w:hAnsi="Arial" w:cs="Arial"/>
          <w:bCs/>
        </w:rPr>
        <w:t>о</w:t>
      </w:r>
      <w:r w:rsidRPr="00814F5C">
        <w:rPr>
          <w:rFonts w:ascii="Arial" w:hAnsi="Arial" w:cs="Arial"/>
          <w:bCs/>
        </w:rPr>
        <w:t xml:space="preserve"> </w:t>
      </w:r>
      <w:r w:rsidR="00D93257" w:rsidRPr="00814F5C">
        <w:rPr>
          <w:rFonts w:ascii="Arial" w:hAnsi="Arial" w:cs="Arial"/>
          <w:bCs/>
        </w:rPr>
        <w:t>I</w:t>
      </w:r>
      <w:r w:rsidR="00B91E35" w:rsidRPr="00814F5C">
        <w:rPr>
          <w:rFonts w:ascii="Arial" w:hAnsi="Arial" w:cs="Arial"/>
          <w:bCs/>
        </w:rPr>
        <w:t>I</w:t>
      </w:r>
      <w:r w:rsidR="003446B3" w:rsidRPr="00814F5C">
        <w:rPr>
          <w:rFonts w:ascii="Arial" w:hAnsi="Arial" w:cs="Arial"/>
          <w:bCs/>
        </w:rPr>
        <w:t xml:space="preserve"> квартале </w:t>
      </w:r>
      <w:r w:rsidRPr="00814F5C">
        <w:rPr>
          <w:rFonts w:ascii="Arial" w:hAnsi="Arial" w:cs="Arial"/>
          <w:bCs/>
        </w:rPr>
        <w:t>202</w:t>
      </w:r>
      <w:r w:rsidR="003446B3" w:rsidRPr="00814F5C">
        <w:rPr>
          <w:rFonts w:ascii="Arial" w:hAnsi="Arial" w:cs="Arial"/>
          <w:bCs/>
        </w:rPr>
        <w:t>3</w:t>
      </w:r>
      <w:r w:rsidRPr="00814F5C">
        <w:rPr>
          <w:rFonts w:ascii="Arial" w:hAnsi="Arial" w:cs="Arial"/>
          <w:bCs/>
        </w:rPr>
        <w:t xml:space="preserve"> г. отвечает сло</w:t>
      </w:r>
      <w:r w:rsidR="00675674" w:rsidRPr="00814F5C">
        <w:rPr>
          <w:rFonts w:ascii="Arial" w:hAnsi="Arial" w:cs="Arial"/>
          <w:bCs/>
        </w:rPr>
        <w:t>жившимся общероссийским трендам</w:t>
      </w:r>
      <w:r w:rsidR="001C4EEA" w:rsidRPr="00814F5C">
        <w:rPr>
          <w:rFonts w:ascii="Arial" w:hAnsi="Arial" w:cs="Arial"/>
          <w:bCs/>
        </w:rPr>
        <w:t>:</w:t>
      </w:r>
      <w:r w:rsidR="00675674" w:rsidRPr="00814F5C">
        <w:rPr>
          <w:rFonts w:ascii="Arial" w:hAnsi="Arial" w:cs="Arial"/>
          <w:bCs/>
        </w:rPr>
        <w:t xml:space="preserve"> </w:t>
      </w:r>
      <w:r w:rsidR="001C4EEA" w:rsidRPr="00814F5C">
        <w:rPr>
          <w:rFonts w:ascii="Arial" w:hAnsi="Arial" w:cs="Arial"/>
          <w:bCs/>
        </w:rPr>
        <w:t>более половины покупателей переключаются на магазины с низкими ц</w:t>
      </w:r>
      <w:r w:rsidR="001C4EEA" w:rsidRPr="00814F5C">
        <w:rPr>
          <w:rFonts w:ascii="Arial" w:hAnsi="Arial" w:cs="Arial"/>
          <w:bCs/>
        </w:rPr>
        <w:t>е</w:t>
      </w:r>
      <w:r w:rsidR="001C4EEA" w:rsidRPr="00814F5C">
        <w:rPr>
          <w:rFonts w:ascii="Arial" w:hAnsi="Arial" w:cs="Arial"/>
          <w:bCs/>
        </w:rPr>
        <w:t>нами, ищут товары по сниженным ценам, переключаются на самые необходимые товары, по</w:t>
      </w:r>
      <w:r w:rsidR="007C2158" w:rsidRPr="00814F5C">
        <w:rPr>
          <w:rFonts w:ascii="Arial" w:hAnsi="Arial" w:cs="Arial"/>
          <w:bCs/>
        </w:rPr>
        <w:t>купают более дешёвые марки</w:t>
      </w:r>
      <w:r w:rsidR="001C4EEA" w:rsidRPr="00814F5C">
        <w:rPr>
          <w:rFonts w:ascii="Arial" w:hAnsi="Arial" w:cs="Arial"/>
          <w:bCs/>
        </w:rPr>
        <w:t>. Растет спрос на  онлайн-магазины, в то время как покупки в супермаркетах сокращаются.</w:t>
      </w:r>
    </w:p>
    <w:p w:rsidR="009121AB" w:rsidRPr="00814F5C" w:rsidRDefault="00A83F95" w:rsidP="009121AB">
      <w:pPr>
        <w:ind w:firstLine="709"/>
        <w:contextualSpacing/>
        <w:jc w:val="both"/>
        <w:rPr>
          <w:rFonts w:ascii="Arial" w:hAnsi="Arial" w:cs="Arial"/>
          <w:bCs/>
        </w:rPr>
      </w:pPr>
      <w:r w:rsidRPr="00814F5C">
        <w:rPr>
          <w:rFonts w:ascii="Arial" w:hAnsi="Arial" w:cs="Arial"/>
          <w:bCs/>
        </w:rPr>
        <w:t>Оборот розничной торговли</w:t>
      </w:r>
      <w:r w:rsidR="00C30E63" w:rsidRPr="00814F5C">
        <w:rPr>
          <w:rFonts w:ascii="Arial" w:hAnsi="Arial" w:cs="Arial"/>
          <w:bCs/>
        </w:rPr>
        <w:t xml:space="preserve"> в Чувашии </w:t>
      </w:r>
      <w:r w:rsidR="00B91E35" w:rsidRPr="00814F5C">
        <w:rPr>
          <w:rFonts w:ascii="Arial" w:hAnsi="Arial" w:cs="Arial"/>
          <w:bCs/>
        </w:rPr>
        <w:t>во I</w:t>
      </w:r>
      <w:r w:rsidR="008E7593" w:rsidRPr="00814F5C">
        <w:rPr>
          <w:rFonts w:ascii="Arial" w:hAnsi="Arial" w:cs="Arial"/>
          <w:bCs/>
        </w:rPr>
        <w:t xml:space="preserve"> полугодии</w:t>
      </w:r>
      <w:r w:rsidR="00C30E63" w:rsidRPr="00814F5C">
        <w:rPr>
          <w:rFonts w:ascii="Arial" w:hAnsi="Arial" w:cs="Arial"/>
          <w:bCs/>
        </w:rPr>
        <w:t xml:space="preserve"> 2023 г</w:t>
      </w:r>
      <w:r w:rsidR="0040685A" w:rsidRPr="00814F5C">
        <w:rPr>
          <w:rFonts w:ascii="Arial" w:hAnsi="Arial" w:cs="Arial"/>
          <w:bCs/>
        </w:rPr>
        <w:t>.</w:t>
      </w:r>
      <w:r w:rsidR="00C30E63" w:rsidRPr="00814F5C">
        <w:rPr>
          <w:rFonts w:ascii="Arial" w:hAnsi="Arial" w:cs="Arial"/>
          <w:bCs/>
        </w:rPr>
        <w:t xml:space="preserve"> составил </w:t>
      </w:r>
      <w:r w:rsidR="00B91E35" w:rsidRPr="00814F5C">
        <w:rPr>
          <w:rFonts w:ascii="Arial" w:hAnsi="Arial" w:cs="Arial"/>
          <w:bCs/>
        </w:rPr>
        <w:t xml:space="preserve"> 112,5 </w:t>
      </w:r>
      <w:r w:rsidR="00C30E63" w:rsidRPr="00814F5C">
        <w:rPr>
          <w:rFonts w:ascii="Arial" w:hAnsi="Arial" w:cs="Arial"/>
          <w:bCs/>
        </w:rPr>
        <w:t>млрд. рублей</w:t>
      </w:r>
      <w:r w:rsidR="008E7593" w:rsidRPr="00814F5C">
        <w:rPr>
          <w:rFonts w:ascii="Arial" w:hAnsi="Arial" w:cs="Arial"/>
          <w:bCs/>
        </w:rPr>
        <w:t xml:space="preserve">, что на </w:t>
      </w:r>
      <w:r w:rsidR="00B91E35" w:rsidRPr="00814F5C">
        <w:rPr>
          <w:rFonts w:ascii="Arial" w:hAnsi="Arial" w:cs="Arial"/>
          <w:bCs/>
        </w:rPr>
        <w:t>3,0</w:t>
      </w:r>
      <w:r w:rsidR="00C30E63" w:rsidRPr="00814F5C">
        <w:rPr>
          <w:rFonts w:ascii="Arial" w:hAnsi="Arial" w:cs="Arial"/>
          <w:bCs/>
        </w:rPr>
        <w:t xml:space="preserve">% </w:t>
      </w:r>
      <w:r w:rsidR="008E7593" w:rsidRPr="00814F5C">
        <w:rPr>
          <w:rFonts w:ascii="Arial" w:hAnsi="Arial" w:cs="Arial"/>
          <w:bCs/>
        </w:rPr>
        <w:t xml:space="preserve">больше уровня </w:t>
      </w:r>
      <w:r w:rsidR="00B91E35" w:rsidRPr="00814F5C">
        <w:rPr>
          <w:rFonts w:ascii="Arial" w:hAnsi="Arial" w:cs="Arial"/>
          <w:bCs/>
        </w:rPr>
        <w:t>I</w:t>
      </w:r>
      <w:r w:rsidR="008E7593" w:rsidRPr="00814F5C">
        <w:rPr>
          <w:rFonts w:ascii="Arial" w:hAnsi="Arial" w:cs="Arial"/>
          <w:bCs/>
        </w:rPr>
        <w:t xml:space="preserve"> полугодия</w:t>
      </w:r>
      <w:r w:rsidR="00C30E63" w:rsidRPr="00814F5C">
        <w:rPr>
          <w:rFonts w:ascii="Arial" w:hAnsi="Arial" w:cs="Arial"/>
          <w:bCs/>
        </w:rPr>
        <w:t xml:space="preserve"> 2022 года (по России – </w:t>
      </w:r>
      <w:r w:rsidR="006E68E9" w:rsidRPr="00814F5C">
        <w:rPr>
          <w:rFonts w:ascii="Arial" w:hAnsi="Arial" w:cs="Arial"/>
          <w:bCs/>
        </w:rPr>
        <w:t>101,1</w:t>
      </w:r>
      <w:r w:rsidR="00C30E63" w:rsidRPr="00814F5C">
        <w:rPr>
          <w:rFonts w:ascii="Arial" w:hAnsi="Arial" w:cs="Arial"/>
          <w:bCs/>
        </w:rPr>
        <w:t>%, по ПФО</w:t>
      </w:r>
      <w:r w:rsidR="006E68E9" w:rsidRPr="00814F5C">
        <w:rPr>
          <w:rFonts w:ascii="Arial" w:hAnsi="Arial" w:cs="Arial"/>
          <w:bCs/>
        </w:rPr>
        <w:t xml:space="preserve"> –</w:t>
      </w:r>
      <w:r w:rsidR="00C30E63" w:rsidRPr="00814F5C">
        <w:rPr>
          <w:rFonts w:ascii="Arial" w:hAnsi="Arial" w:cs="Arial"/>
          <w:bCs/>
        </w:rPr>
        <w:t xml:space="preserve"> </w:t>
      </w:r>
      <w:r w:rsidR="006E68E9" w:rsidRPr="00814F5C">
        <w:rPr>
          <w:rFonts w:ascii="Arial" w:hAnsi="Arial" w:cs="Arial"/>
          <w:bCs/>
        </w:rPr>
        <w:t>105,0</w:t>
      </w:r>
      <w:r w:rsidR="00C30E63" w:rsidRPr="00814F5C">
        <w:rPr>
          <w:rFonts w:ascii="Arial" w:hAnsi="Arial" w:cs="Arial"/>
          <w:bCs/>
        </w:rPr>
        <w:t xml:space="preserve">%). </w:t>
      </w:r>
      <w:r w:rsidR="009121AB" w:rsidRPr="00814F5C">
        <w:rPr>
          <w:rFonts w:ascii="Arial" w:hAnsi="Arial" w:cs="Arial"/>
          <w:bCs/>
        </w:rPr>
        <w:t xml:space="preserve"> </w:t>
      </w:r>
      <w:r w:rsidR="009121AB" w:rsidRPr="00814F5C">
        <w:rPr>
          <w:rFonts w:ascii="Arial" w:hAnsi="Arial" w:cs="Arial"/>
          <w:bCs/>
        </w:rPr>
        <w:t>Среди регионов ПФО по темпу роста показателя Ч</w:t>
      </w:r>
      <w:r w:rsidR="009121AB" w:rsidRPr="00814F5C">
        <w:rPr>
          <w:rFonts w:ascii="Arial" w:hAnsi="Arial" w:cs="Arial"/>
          <w:bCs/>
        </w:rPr>
        <w:t>у</w:t>
      </w:r>
      <w:r w:rsidR="009121AB" w:rsidRPr="00814F5C">
        <w:rPr>
          <w:rFonts w:ascii="Arial" w:hAnsi="Arial" w:cs="Arial"/>
          <w:bCs/>
        </w:rPr>
        <w:t xml:space="preserve">вашия заняла </w:t>
      </w:r>
      <w:r w:rsidR="00075314" w:rsidRPr="00814F5C">
        <w:rPr>
          <w:rFonts w:ascii="Arial" w:hAnsi="Arial" w:cs="Arial"/>
          <w:bCs/>
        </w:rPr>
        <w:t>1</w:t>
      </w:r>
      <w:r w:rsidR="00E968DD" w:rsidRPr="00814F5C">
        <w:rPr>
          <w:rFonts w:ascii="Arial" w:hAnsi="Arial" w:cs="Arial"/>
          <w:bCs/>
        </w:rPr>
        <w:t>0</w:t>
      </w:r>
      <w:r w:rsidR="00075314" w:rsidRPr="00814F5C">
        <w:rPr>
          <w:rFonts w:ascii="Arial" w:hAnsi="Arial" w:cs="Arial"/>
          <w:bCs/>
        </w:rPr>
        <w:t xml:space="preserve"> </w:t>
      </w:r>
      <w:r w:rsidR="009121AB" w:rsidRPr="00814F5C">
        <w:rPr>
          <w:rFonts w:ascii="Arial" w:hAnsi="Arial" w:cs="Arial"/>
          <w:bCs/>
        </w:rPr>
        <w:t>место, среди субъектов Российской Ф</w:t>
      </w:r>
      <w:r w:rsidR="009121AB" w:rsidRPr="00814F5C">
        <w:rPr>
          <w:rFonts w:ascii="Arial" w:hAnsi="Arial" w:cs="Arial"/>
          <w:bCs/>
        </w:rPr>
        <w:t>е</w:t>
      </w:r>
      <w:r w:rsidR="009121AB" w:rsidRPr="00814F5C">
        <w:rPr>
          <w:rFonts w:ascii="Arial" w:hAnsi="Arial" w:cs="Arial"/>
          <w:bCs/>
        </w:rPr>
        <w:t>дерации - 3</w:t>
      </w:r>
      <w:r w:rsidR="00E968DD" w:rsidRPr="00814F5C">
        <w:rPr>
          <w:rFonts w:ascii="Arial" w:hAnsi="Arial" w:cs="Arial"/>
          <w:bCs/>
        </w:rPr>
        <w:t>0</w:t>
      </w:r>
      <w:r w:rsidR="009121AB" w:rsidRPr="00814F5C">
        <w:rPr>
          <w:rFonts w:ascii="Arial" w:hAnsi="Arial" w:cs="Arial"/>
          <w:bCs/>
        </w:rPr>
        <w:t xml:space="preserve"> место. </w:t>
      </w:r>
    </w:p>
    <w:p w:rsidR="00C30E63" w:rsidRPr="00814F5C" w:rsidRDefault="00C30E63" w:rsidP="00C30E63">
      <w:pPr>
        <w:ind w:firstLine="709"/>
        <w:contextualSpacing/>
        <w:jc w:val="both"/>
        <w:rPr>
          <w:rFonts w:ascii="Arial" w:hAnsi="Arial" w:cs="Arial"/>
          <w:bCs/>
        </w:rPr>
      </w:pPr>
    </w:p>
    <w:p w:rsidR="00FE2396" w:rsidRPr="00814F5C" w:rsidRDefault="00FE2396" w:rsidP="00493B16">
      <w:pPr>
        <w:ind w:firstLine="709"/>
        <w:contextualSpacing/>
        <w:jc w:val="both"/>
        <w:rPr>
          <w:rFonts w:ascii="Arial" w:hAnsi="Arial" w:cs="Arial"/>
          <w:bCs/>
        </w:rPr>
      </w:pPr>
    </w:p>
    <w:p w:rsidR="005461EA" w:rsidRPr="00814F5C" w:rsidRDefault="005461EA" w:rsidP="005461EA">
      <w:pPr>
        <w:pStyle w:val="a8"/>
        <w:spacing w:before="0" w:beforeAutospacing="0" w:after="0" w:afterAutospacing="0" w:line="216" w:lineRule="auto"/>
        <w:jc w:val="center"/>
        <w:textAlignment w:val="baseline"/>
        <w:rPr>
          <w:sz w:val="26"/>
          <w:szCs w:val="26"/>
        </w:rPr>
      </w:pPr>
      <w:r w:rsidRPr="00814F5C">
        <w:rPr>
          <w:rFonts w:ascii="Arial" w:eastAsia="Roboto" w:hAnsi="Arial" w:cs="Arial"/>
          <w:b/>
          <w:bCs/>
          <w:color w:val="000000"/>
          <w:kern w:val="24"/>
          <w:sz w:val="26"/>
          <w:szCs w:val="26"/>
        </w:rPr>
        <w:t>Динамика оборота розничной торговли</w:t>
      </w:r>
    </w:p>
    <w:p w:rsidR="005461EA" w:rsidRPr="00814F5C" w:rsidRDefault="005461EA" w:rsidP="005461EA">
      <w:pPr>
        <w:pStyle w:val="a8"/>
        <w:spacing w:before="0" w:beforeAutospacing="0" w:after="0" w:afterAutospacing="0"/>
        <w:jc w:val="center"/>
        <w:textAlignment w:val="baseline"/>
        <w:rPr>
          <w:sz w:val="20"/>
        </w:rPr>
      </w:pPr>
      <w:r w:rsidRPr="00814F5C">
        <w:rPr>
          <w:rFonts w:ascii="Arial" w:eastAsia="Segoe UI Black" w:hAnsi="Arial" w:cs="Arial"/>
          <w:i/>
          <w:iCs/>
          <w:color w:val="000000"/>
          <w:sz w:val="18"/>
          <w:szCs w:val="22"/>
        </w:rPr>
        <w:t xml:space="preserve">в сопоставимых ценах </w:t>
      </w:r>
      <w:proofErr w:type="gramStart"/>
      <w:r w:rsidRPr="00814F5C">
        <w:rPr>
          <w:rFonts w:ascii="Arial" w:eastAsia="Segoe UI Black" w:hAnsi="Arial" w:cs="Arial"/>
          <w:i/>
          <w:iCs/>
          <w:color w:val="000000"/>
          <w:sz w:val="18"/>
          <w:szCs w:val="22"/>
        </w:rPr>
        <w:t>в</w:t>
      </w:r>
      <w:proofErr w:type="gramEnd"/>
      <w:r w:rsidRPr="00814F5C">
        <w:rPr>
          <w:rFonts w:ascii="Arial" w:eastAsia="Segoe UI Black" w:hAnsi="Arial" w:cs="Arial"/>
          <w:i/>
          <w:iCs/>
          <w:color w:val="000000"/>
          <w:sz w:val="18"/>
          <w:szCs w:val="22"/>
        </w:rPr>
        <w:t xml:space="preserve"> % к соответствующему периоду предыдущего года</w:t>
      </w:r>
    </w:p>
    <w:p w:rsidR="00BA41D0" w:rsidRPr="00814F5C" w:rsidRDefault="00BA41D0" w:rsidP="00082EE0">
      <w:pPr>
        <w:ind w:firstLine="709"/>
        <w:contextualSpacing/>
        <w:jc w:val="both"/>
        <w:rPr>
          <w:rFonts w:ascii="Arial" w:hAnsi="Arial" w:cs="Arial"/>
          <w:color w:val="000000"/>
        </w:rPr>
      </w:pPr>
    </w:p>
    <w:p w:rsidR="00BA41D0" w:rsidRPr="00814F5C" w:rsidRDefault="00BA41D0" w:rsidP="00BA41D0">
      <w:pPr>
        <w:contextualSpacing/>
        <w:jc w:val="both"/>
        <w:rPr>
          <w:rFonts w:ascii="Arial" w:hAnsi="Arial" w:cs="Arial"/>
          <w:color w:val="000000"/>
        </w:rPr>
      </w:pPr>
      <w:r w:rsidRPr="00814F5C">
        <w:rPr>
          <w:rFonts w:ascii="Arial" w:hAnsi="Arial" w:cs="Arial"/>
          <w:noProof/>
          <w:color w:val="000000"/>
        </w:rPr>
        <w:drawing>
          <wp:inline distT="0" distB="0" distL="0" distR="0" wp14:anchorId="126D9E45" wp14:editId="125D738B">
            <wp:extent cx="5939790" cy="1796834"/>
            <wp:effectExtent l="0" t="0" r="381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7AF4" w:rsidRPr="00814F5C" w:rsidRDefault="00CB7AF4" w:rsidP="00082EE0">
      <w:pPr>
        <w:ind w:firstLine="709"/>
        <w:contextualSpacing/>
        <w:jc w:val="both"/>
        <w:rPr>
          <w:rFonts w:ascii="Arial" w:hAnsi="Arial" w:cs="Arial"/>
          <w:color w:val="000000"/>
        </w:rPr>
      </w:pPr>
    </w:p>
    <w:p w:rsidR="007C2158" w:rsidRPr="00814F5C" w:rsidRDefault="007C2158" w:rsidP="007C2158">
      <w:pPr>
        <w:ind w:firstLine="709"/>
        <w:contextualSpacing/>
        <w:jc w:val="both"/>
        <w:rPr>
          <w:rFonts w:ascii="Arial" w:hAnsi="Arial" w:cs="Arial"/>
          <w:bCs/>
        </w:rPr>
      </w:pPr>
      <w:r w:rsidRPr="00814F5C">
        <w:rPr>
          <w:rFonts w:ascii="Arial" w:hAnsi="Arial" w:cs="Arial"/>
          <w:bCs/>
        </w:rPr>
        <w:t>Темп роста продовольственных товаров составил 10</w:t>
      </w:r>
      <w:r w:rsidR="00862B15" w:rsidRPr="00814F5C">
        <w:rPr>
          <w:rFonts w:ascii="Arial" w:hAnsi="Arial" w:cs="Arial"/>
          <w:bCs/>
        </w:rPr>
        <w:t>5,4</w:t>
      </w:r>
      <w:r w:rsidRPr="00814F5C">
        <w:rPr>
          <w:rFonts w:ascii="Arial" w:hAnsi="Arial" w:cs="Arial"/>
          <w:bCs/>
        </w:rPr>
        <w:t>% (по РФ –</w:t>
      </w:r>
      <w:r w:rsidR="006E68E9" w:rsidRPr="00814F5C">
        <w:rPr>
          <w:rFonts w:ascii="Arial" w:hAnsi="Arial" w:cs="Arial"/>
          <w:bCs/>
        </w:rPr>
        <w:t xml:space="preserve"> 100,8</w:t>
      </w:r>
      <w:r w:rsidRPr="00814F5C">
        <w:rPr>
          <w:rFonts w:ascii="Arial" w:hAnsi="Arial" w:cs="Arial"/>
          <w:bCs/>
        </w:rPr>
        <w:t>%, ПФО – 10</w:t>
      </w:r>
      <w:r w:rsidR="006E68E9" w:rsidRPr="00814F5C">
        <w:rPr>
          <w:rFonts w:ascii="Arial" w:hAnsi="Arial" w:cs="Arial"/>
          <w:bCs/>
        </w:rPr>
        <w:t>5,0</w:t>
      </w:r>
      <w:r w:rsidRPr="00814F5C">
        <w:rPr>
          <w:rFonts w:ascii="Arial" w:hAnsi="Arial" w:cs="Arial"/>
          <w:bCs/>
        </w:rPr>
        <w:t xml:space="preserve">%), по непродовольственным товарам  - </w:t>
      </w:r>
      <w:r w:rsidR="00862B15" w:rsidRPr="00814F5C">
        <w:rPr>
          <w:rFonts w:ascii="Arial" w:hAnsi="Arial" w:cs="Arial"/>
          <w:bCs/>
        </w:rPr>
        <w:t>100,4</w:t>
      </w:r>
      <w:r w:rsidRPr="00814F5C">
        <w:rPr>
          <w:rFonts w:ascii="Arial" w:hAnsi="Arial" w:cs="Arial"/>
          <w:bCs/>
        </w:rPr>
        <w:t xml:space="preserve">% (по РФ -  </w:t>
      </w:r>
      <w:r w:rsidR="006E68E9" w:rsidRPr="00814F5C">
        <w:rPr>
          <w:rFonts w:ascii="Arial" w:hAnsi="Arial" w:cs="Arial"/>
          <w:bCs/>
        </w:rPr>
        <w:t>101,4</w:t>
      </w:r>
      <w:r w:rsidRPr="00814F5C">
        <w:rPr>
          <w:rFonts w:ascii="Arial" w:hAnsi="Arial" w:cs="Arial"/>
          <w:bCs/>
        </w:rPr>
        <w:t xml:space="preserve">%, ПФО – </w:t>
      </w:r>
      <w:r w:rsidR="006E68E9" w:rsidRPr="00814F5C">
        <w:rPr>
          <w:rFonts w:ascii="Arial" w:hAnsi="Arial" w:cs="Arial"/>
          <w:bCs/>
        </w:rPr>
        <w:t>105,0</w:t>
      </w:r>
      <w:r w:rsidRPr="00814F5C">
        <w:rPr>
          <w:rFonts w:ascii="Arial" w:hAnsi="Arial" w:cs="Arial"/>
          <w:bCs/>
        </w:rPr>
        <w:t xml:space="preserve">%). </w:t>
      </w:r>
    </w:p>
    <w:p w:rsidR="006E68E9" w:rsidRPr="00814F5C" w:rsidRDefault="006E68E9" w:rsidP="00D92834">
      <w:pPr>
        <w:ind w:firstLine="709"/>
        <w:jc w:val="both"/>
        <w:rPr>
          <w:rFonts w:ascii="Arial" w:hAnsi="Arial" w:cs="Arial"/>
          <w:bCs/>
        </w:rPr>
      </w:pPr>
      <w:r w:rsidRPr="00814F5C">
        <w:rPr>
          <w:rFonts w:ascii="Arial" w:hAnsi="Arial" w:cs="Arial"/>
          <w:bCs/>
        </w:rPr>
        <w:t xml:space="preserve">В сфере розничной торговли сохраняется тенденция опережающего роста объема продаж непродовольственных товаров. В структуре оборота розничной торговли удельный вес пищевых продуктов, включая напитки, и табачных </w:t>
      </w:r>
      <w:proofErr w:type="spellStart"/>
      <w:proofErr w:type="gramStart"/>
      <w:r w:rsidRPr="00814F5C">
        <w:rPr>
          <w:rFonts w:ascii="Arial" w:hAnsi="Arial" w:cs="Arial"/>
          <w:bCs/>
        </w:rPr>
        <w:t>изде-лий</w:t>
      </w:r>
      <w:proofErr w:type="spellEnd"/>
      <w:proofErr w:type="gramEnd"/>
      <w:r w:rsidRPr="00814F5C">
        <w:rPr>
          <w:rFonts w:ascii="Arial" w:hAnsi="Arial" w:cs="Arial"/>
          <w:bCs/>
        </w:rPr>
        <w:t xml:space="preserve"> в 1 полугодии 2023 г. составил 49,5% (в 1 </w:t>
      </w:r>
      <w:r w:rsidRPr="00814F5C">
        <w:rPr>
          <w:rFonts w:ascii="Arial" w:hAnsi="Arial" w:cs="Arial"/>
          <w:bCs/>
        </w:rPr>
        <w:t>полугодии</w:t>
      </w:r>
      <w:r w:rsidRPr="00814F5C">
        <w:rPr>
          <w:rFonts w:ascii="Arial" w:hAnsi="Arial" w:cs="Arial"/>
          <w:bCs/>
        </w:rPr>
        <w:t xml:space="preserve"> 2022 г. – 49,9%), непр</w:t>
      </w:r>
      <w:r w:rsidRPr="00814F5C">
        <w:rPr>
          <w:rFonts w:ascii="Arial" w:hAnsi="Arial" w:cs="Arial"/>
          <w:bCs/>
        </w:rPr>
        <w:t>о</w:t>
      </w:r>
      <w:r w:rsidRPr="00814F5C">
        <w:rPr>
          <w:rFonts w:ascii="Arial" w:hAnsi="Arial" w:cs="Arial"/>
          <w:bCs/>
        </w:rPr>
        <w:t>довольственных товаров – 50,5% (соответственно 50,1%). Превышение доли н</w:t>
      </w:r>
      <w:r w:rsidRPr="00814F5C">
        <w:rPr>
          <w:rFonts w:ascii="Arial" w:hAnsi="Arial" w:cs="Arial"/>
          <w:bCs/>
        </w:rPr>
        <w:t>е</w:t>
      </w:r>
      <w:r w:rsidRPr="00814F5C">
        <w:rPr>
          <w:rFonts w:ascii="Arial" w:hAnsi="Arial" w:cs="Arial"/>
          <w:bCs/>
        </w:rPr>
        <w:t>продовольственных товаров в общем объеме товарооборота является полож</w:t>
      </w:r>
      <w:r w:rsidRPr="00814F5C">
        <w:rPr>
          <w:rFonts w:ascii="Arial" w:hAnsi="Arial" w:cs="Arial"/>
          <w:bCs/>
        </w:rPr>
        <w:t>и</w:t>
      </w:r>
      <w:r w:rsidRPr="00814F5C">
        <w:rPr>
          <w:rFonts w:ascii="Arial" w:hAnsi="Arial" w:cs="Arial"/>
          <w:bCs/>
        </w:rPr>
        <w:t>тельным показателем структуры розничного товарооборота и характеризует бл</w:t>
      </w:r>
      <w:r w:rsidRPr="00814F5C">
        <w:rPr>
          <w:rFonts w:ascii="Arial" w:hAnsi="Arial" w:cs="Arial"/>
          <w:bCs/>
        </w:rPr>
        <w:t>а</w:t>
      </w:r>
      <w:r w:rsidRPr="00814F5C">
        <w:rPr>
          <w:rFonts w:ascii="Arial" w:hAnsi="Arial" w:cs="Arial"/>
          <w:bCs/>
        </w:rPr>
        <w:t>гопр</w:t>
      </w:r>
      <w:r w:rsidRPr="00814F5C">
        <w:rPr>
          <w:rFonts w:ascii="Arial" w:hAnsi="Arial" w:cs="Arial"/>
          <w:bCs/>
        </w:rPr>
        <w:t>и</w:t>
      </w:r>
      <w:r w:rsidRPr="00814F5C">
        <w:rPr>
          <w:rFonts w:ascii="Arial" w:hAnsi="Arial" w:cs="Arial"/>
          <w:bCs/>
        </w:rPr>
        <w:t>ятные изменения в уровне потребления населения.</w:t>
      </w:r>
    </w:p>
    <w:p w:rsidR="006E68E9" w:rsidRPr="00814F5C" w:rsidRDefault="006E68E9" w:rsidP="00D92834">
      <w:pPr>
        <w:ind w:firstLine="709"/>
        <w:jc w:val="both"/>
        <w:rPr>
          <w:rFonts w:ascii="Arial" w:hAnsi="Arial" w:cs="Arial"/>
          <w:color w:val="000000"/>
        </w:rPr>
      </w:pPr>
    </w:p>
    <w:p w:rsidR="00082EE0" w:rsidRPr="00814F5C" w:rsidRDefault="008216F7" w:rsidP="008216F7">
      <w:pPr>
        <w:pStyle w:val="a8"/>
        <w:spacing w:before="0" w:beforeAutospacing="0" w:after="0" w:afterAutospacing="0" w:line="216" w:lineRule="auto"/>
        <w:jc w:val="center"/>
        <w:textAlignment w:val="baseline"/>
        <w:rPr>
          <w:rFonts w:ascii="Arial" w:eastAsia="Roboto" w:hAnsi="Arial" w:cs="Arial"/>
          <w:b/>
          <w:bCs/>
          <w:color w:val="000000"/>
          <w:kern w:val="24"/>
          <w:sz w:val="26"/>
          <w:szCs w:val="26"/>
        </w:rPr>
      </w:pPr>
      <w:r w:rsidRPr="00814F5C">
        <w:rPr>
          <w:rFonts w:ascii="Arial" w:eastAsia="Roboto" w:hAnsi="Arial" w:cs="Arial"/>
          <w:b/>
          <w:bCs/>
          <w:color w:val="000000"/>
          <w:kern w:val="24"/>
          <w:sz w:val="26"/>
          <w:szCs w:val="26"/>
        </w:rPr>
        <w:t>Доля непродовольственных товаров</w:t>
      </w:r>
      <w:r w:rsidR="00082EE0" w:rsidRPr="00814F5C">
        <w:rPr>
          <w:rFonts w:ascii="Arial" w:eastAsia="Roboto" w:hAnsi="Arial" w:cs="Arial"/>
          <w:b/>
          <w:bCs/>
          <w:color w:val="000000"/>
          <w:kern w:val="24"/>
          <w:sz w:val="26"/>
          <w:szCs w:val="26"/>
        </w:rPr>
        <w:t xml:space="preserve"> </w:t>
      </w:r>
    </w:p>
    <w:p w:rsidR="009C6FA2" w:rsidRPr="00814F5C" w:rsidRDefault="00082EE0" w:rsidP="008216F7">
      <w:pPr>
        <w:pStyle w:val="a8"/>
        <w:spacing w:before="0" w:beforeAutospacing="0" w:after="0" w:afterAutospacing="0" w:line="216" w:lineRule="auto"/>
        <w:jc w:val="center"/>
        <w:textAlignment w:val="baseline"/>
        <w:rPr>
          <w:rFonts w:ascii="Arial" w:eastAsia="Roboto" w:hAnsi="Arial" w:cs="Arial"/>
          <w:b/>
          <w:bCs/>
          <w:color w:val="000000"/>
          <w:kern w:val="24"/>
          <w:sz w:val="26"/>
          <w:szCs w:val="26"/>
        </w:rPr>
      </w:pPr>
      <w:r w:rsidRPr="00814F5C">
        <w:rPr>
          <w:rFonts w:ascii="Arial" w:eastAsia="Roboto" w:hAnsi="Arial" w:cs="Arial"/>
          <w:b/>
          <w:bCs/>
          <w:color w:val="000000"/>
          <w:kern w:val="24"/>
          <w:sz w:val="26"/>
          <w:szCs w:val="26"/>
        </w:rPr>
        <w:t>в обороте розничной торго</w:t>
      </w:r>
      <w:r w:rsidRPr="00814F5C">
        <w:rPr>
          <w:rFonts w:ascii="Arial" w:eastAsia="Roboto" w:hAnsi="Arial" w:cs="Arial"/>
          <w:b/>
          <w:bCs/>
          <w:color w:val="000000"/>
          <w:kern w:val="24"/>
          <w:sz w:val="26"/>
          <w:szCs w:val="26"/>
        </w:rPr>
        <w:t>в</w:t>
      </w:r>
      <w:r w:rsidRPr="00814F5C">
        <w:rPr>
          <w:rFonts w:ascii="Arial" w:eastAsia="Roboto" w:hAnsi="Arial" w:cs="Arial"/>
          <w:b/>
          <w:bCs/>
          <w:color w:val="000000"/>
          <w:kern w:val="24"/>
          <w:sz w:val="26"/>
          <w:szCs w:val="26"/>
        </w:rPr>
        <w:t>ли</w:t>
      </w:r>
      <w:r w:rsidR="008216F7" w:rsidRPr="00814F5C">
        <w:rPr>
          <w:rFonts w:ascii="Arial" w:eastAsia="Roboto" w:hAnsi="Arial" w:cs="Arial"/>
          <w:b/>
          <w:bCs/>
          <w:color w:val="000000"/>
          <w:kern w:val="24"/>
          <w:sz w:val="26"/>
          <w:szCs w:val="26"/>
        </w:rPr>
        <w:t>, %</w:t>
      </w:r>
    </w:p>
    <w:p w:rsidR="009C6FA2" w:rsidRPr="00814F5C" w:rsidRDefault="008216F7" w:rsidP="0066144E">
      <w:pPr>
        <w:ind w:firstLine="708"/>
        <w:jc w:val="both"/>
        <w:rPr>
          <w:rFonts w:ascii="Arial" w:hAnsi="Arial" w:cs="Arial"/>
        </w:rPr>
      </w:pPr>
      <w:r w:rsidRPr="00814F5C">
        <w:rPr>
          <w:rFonts w:ascii="Arial" w:hAnsi="Arial" w:cs="Arial"/>
          <w:noProof/>
        </w:rPr>
        <w:drawing>
          <wp:anchor distT="0" distB="0" distL="114300" distR="114300" simplePos="0" relativeHeight="251700224" behindDoc="0" locked="0" layoutInCell="1" allowOverlap="1" wp14:anchorId="262650FF" wp14:editId="26FE14A4">
            <wp:simplePos x="0" y="0"/>
            <wp:positionH relativeFrom="column">
              <wp:posOffset>503555</wp:posOffset>
            </wp:positionH>
            <wp:positionV relativeFrom="paragraph">
              <wp:posOffset>80645</wp:posOffset>
            </wp:positionV>
            <wp:extent cx="4869180" cy="1509395"/>
            <wp:effectExtent l="0" t="0" r="7620" b="0"/>
            <wp:wrapTight wrapText="bothSides">
              <wp:wrapPolygon edited="0">
                <wp:start x="0" y="0"/>
                <wp:lineTo x="0" y="21264"/>
                <wp:lineTo x="21549" y="21264"/>
                <wp:lineTo x="21549" y="0"/>
                <wp:lineTo x="0" y="0"/>
              </wp:wrapPolygon>
            </wp:wrapTight>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9C6FA2" w:rsidRPr="00814F5C" w:rsidRDefault="009C6FA2" w:rsidP="0066144E">
      <w:pPr>
        <w:ind w:firstLine="708"/>
        <w:jc w:val="both"/>
        <w:rPr>
          <w:rFonts w:ascii="Arial" w:hAnsi="Arial" w:cs="Arial"/>
        </w:rPr>
      </w:pPr>
    </w:p>
    <w:p w:rsidR="009C6FA2" w:rsidRPr="00814F5C" w:rsidRDefault="009C6FA2" w:rsidP="0066144E">
      <w:pPr>
        <w:ind w:firstLine="708"/>
        <w:jc w:val="both"/>
        <w:rPr>
          <w:rFonts w:ascii="Arial" w:hAnsi="Arial" w:cs="Arial"/>
        </w:rPr>
      </w:pPr>
    </w:p>
    <w:p w:rsidR="009C6FA2" w:rsidRPr="00814F5C" w:rsidRDefault="009C6FA2" w:rsidP="0066144E">
      <w:pPr>
        <w:ind w:firstLine="708"/>
        <w:jc w:val="both"/>
        <w:rPr>
          <w:rFonts w:ascii="Arial" w:hAnsi="Arial" w:cs="Arial"/>
        </w:rPr>
      </w:pPr>
    </w:p>
    <w:p w:rsidR="009C6FA2" w:rsidRPr="00814F5C" w:rsidRDefault="009C6FA2" w:rsidP="0066144E">
      <w:pPr>
        <w:ind w:firstLine="708"/>
        <w:jc w:val="both"/>
        <w:rPr>
          <w:rFonts w:ascii="Arial" w:hAnsi="Arial" w:cs="Arial"/>
        </w:rPr>
      </w:pPr>
    </w:p>
    <w:p w:rsidR="009C6FA2" w:rsidRPr="00814F5C" w:rsidRDefault="009C6FA2" w:rsidP="0066144E">
      <w:pPr>
        <w:ind w:firstLine="708"/>
        <w:jc w:val="both"/>
        <w:rPr>
          <w:rFonts w:ascii="Arial" w:hAnsi="Arial" w:cs="Arial"/>
        </w:rPr>
      </w:pPr>
    </w:p>
    <w:p w:rsidR="00151455" w:rsidRPr="00814F5C" w:rsidRDefault="00151455" w:rsidP="00135D12">
      <w:pPr>
        <w:ind w:firstLine="709"/>
        <w:contextualSpacing/>
        <w:jc w:val="both"/>
        <w:rPr>
          <w:rFonts w:ascii="Arial" w:hAnsi="Arial" w:cs="Arial"/>
          <w:color w:val="000000"/>
        </w:rPr>
      </w:pPr>
    </w:p>
    <w:p w:rsidR="00151455" w:rsidRPr="00814F5C" w:rsidRDefault="00151455" w:rsidP="00135D12">
      <w:pPr>
        <w:ind w:firstLine="709"/>
        <w:contextualSpacing/>
        <w:jc w:val="both"/>
        <w:rPr>
          <w:rFonts w:ascii="Arial" w:hAnsi="Arial" w:cs="Arial"/>
          <w:color w:val="000000"/>
        </w:rPr>
      </w:pPr>
    </w:p>
    <w:p w:rsidR="000C51E7" w:rsidRPr="00814F5C" w:rsidRDefault="000C51E7" w:rsidP="00135D12">
      <w:pPr>
        <w:ind w:firstLine="709"/>
        <w:contextualSpacing/>
        <w:jc w:val="both"/>
        <w:rPr>
          <w:rFonts w:ascii="Arial" w:hAnsi="Arial" w:cs="Arial"/>
          <w:color w:val="000000"/>
        </w:rPr>
      </w:pPr>
    </w:p>
    <w:p w:rsidR="00493B16" w:rsidRPr="00814F5C" w:rsidRDefault="00135D12" w:rsidP="00135D12">
      <w:pPr>
        <w:ind w:firstLine="709"/>
        <w:contextualSpacing/>
        <w:jc w:val="both"/>
        <w:rPr>
          <w:rFonts w:ascii="Arial" w:hAnsi="Arial" w:cs="Arial"/>
          <w:color w:val="000000"/>
        </w:rPr>
      </w:pPr>
      <w:r w:rsidRPr="00814F5C">
        <w:rPr>
          <w:rFonts w:ascii="Arial" w:hAnsi="Arial" w:cs="Arial"/>
          <w:color w:val="000000"/>
        </w:rPr>
        <w:t xml:space="preserve">В </w:t>
      </w:r>
      <w:r w:rsidR="00D93257" w:rsidRPr="00814F5C">
        <w:rPr>
          <w:rFonts w:ascii="Arial" w:hAnsi="Arial" w:cs="Arial"/>
          <w:color w:val="000000"/>
          <w:lang w:val="en-US"/>
        </w:rPr>
        <w:t>I</w:t>
      </w:r>
      <w:r w:rsidR="009734C3" w:rsidRPr="00814F5C">
        <w:rPr>
          <w:rFonts w:ascii="Arial" w:hAnsi="Arial" w:cs="Arial"/>
          <w:color w:val="000000"/>
        </w:rPr>
        <w:t xml:space="preserve"> </w:t>
      </w:r>
      <w:r w:rsidR="006E68E9" w:rsidRPr="00814F5C">
        <w:rPr>
          <w:rFonts w:ascii="Arial" w:hAnsi="Arial" w:cs="Arial"/>
          <w:bCs/>
        </w:rPr>
        <w:t xml:space="preserve">полугодии 2023 г. </w:t>
      </w:r>
      <w:r w:rsidRPr="00814F5C">
        <w:rPr>
          <w:rFonts w:ascii="Arial" w:hAnsi="Arial" w:cs="Arial"/>
          <w:color w:val="000000"/>
        </w:rPr>
        <w:t xml:space="preserve"> оборот розничной торговли на 96,</w:t>
      </w:r>
      <w:r w:rsidR="009734C3" w:rsidRPr="00814F5C">
        <w:rPr>
          <w:rFonts w:ascii="Arial" w:hAnsi="Arial" w:cs="Arial"/>
          <w:color w:val="000000"/>
        </w:rPr>
        <w:t>6</w:t>
      </w:r>
      <w:r w:rsidRPr="00814F5C">
        <w:rPr>
          <w:rFonts w:ascii="Arial" w:hAnsi="Arial" w:cs="Arial"/>
          <w:color w:val="000000"/>
        </w:rPr>
        <w:t>% формировался торгующими организациями и индивидуальными предпринимателями, осущест</w:t>
      </w:r>
      <w:r w:rsidRPr="00814F5C">
        <w:rPr>
          <w:rFonts w:ascii="Arial" w:hAnsi="Arial" w:cs="Arial"/>
          <w:color w:val="000000"/>
        </w:rPr>
        <w:t>в</w:t>
      </w:r>
      <w:r w:rsidRPr="00814F5C">
        <w:rPr>
          <w:rFonts w:ascii="Arial" w:hAnsi="Arial" w:cs="Arial"/>
          <w:color w:val="000000"/>
        </w:rPr>
        <w:t>ляющими деятельность в стационарной торговой сети (вне рынка). Доля продажи товаров на р</w:t>
      </w:r>
      <w:r w:rsidR="00553E6F" w:rsidRPr="00814F5C">
        <w:rPr>
          <w:rFonts w:ascii="Arial" w:hAnsi="Arial" w:cs="Arial"/>
          <w:color w:val="000000"/>
        </w:rPr>
        <w:t>ынках и ярмарках составила 3,</w:t>
      </w:r>
      <w:r w:rsidR="009734C3" w:rsidRPr="00814F5C">
        <w:rPr>
          <w:rFonts w:ascii="Arial" w:hAnsi="Arial" w:cs="Arial"/>
          <w:color w:val="000000"/>
        </w:rPr>
        <w:t>4</w:t>
      </w:r>
      <w:r w:rsidR="00553E6F" w:rsidRPr="00814F5C">
        <w:rPr>
          <w:rFonts w:ascii="Arial" w:hAnsi="Arial" w:cs="Arial"/>
          <w:color w:val="000000"/>
        </w:rPr>
        <w:t>%,</w:t>
      </w:r>
      <w:r w:rsidR="00493B16" w:rsidRPr="00814F5C">
        <w:rPr>
          <w:rFonts w:ascii="Arial" w:hAnsi="Arial" w:cs="Arial"/>
          <w:color w:val="000000"/>
        </w:rPr>
        <w:t xml:space="preserve"> что свидетельствует о сглажив</w:t>
      </w:r>
      <w:r w:rsidR="00493B16" w:rsidRPr="00814F5C">
        <w:rPr>
          <w:rFonts w:ascii="Arial" w:hAnsi="Arial" w:cs="Arial"/>
          <w:color w:val="000000"/>
        </w:rPr>
        <w:t>а</w:t>
      </w:r>
      <w:r w:rsidR="00493B16" w:rsidRPr="00814F5C">
        <w:rPr>
          <w:rFonts w:ascii="Arial" w:hAnsi="Arial" w:cs="Arial"/>
          <w:color w:val="000000"/>
        </w:rPr>
        <w:t>нии уровня цен в стационарных объектах торговли и на объектах рыноч</w:t>
      </w:r>
      <w:r w:rsidRPr="00814F5C">
        <w:rPr>
          <w:rFonts w:ascii="Arial" w:hAnsi="Arial" w:cs="Arial"/>
          <w:color w:val="000000"/>
        </w:rPr>
        <w:t>ной то</w:t>
      </w:r>
      <w:r w:rsidRPr="00814F5C">
        <w:rPr>
          <w:rFonts w:ascii="Arial" w:hAnsi="Arial" w:cs="Arial"/>
          <w:color w:val="000000"/>
        </w:rPr>
        <w:t>р</w:t>
      </w:r>
      <w:r w:rsidRPr="00814F5C">
        <w:rPr>
          <w:rFonts w:ascii="Arial" w:hAnsi="Arial" w:cs="Arial"/>
          <w:color w:val="000000"/>
        </w:rPr>
        <w:t xml:space="preserve">говли (рынки, </w:t>
      </w:r>
      <w:r w:rsidR="00493B16" w:rsidRPr="00814F5C">
        <w:rPr>
          <w:rFonts w:ascii="Arial" w:hAnsi="Arial" w:cs="Arial"/>
          <w:color w:val="000000"/>
        </w:rPr>
        <w:t>ярмарки).</w:t>
      </w:r>
    </w:p>
    <w:p w:rsidR="00082EE0" w:rsidRPr="00814F5C" w:rsidRDefault="00082EE0" w:rsidP="005B1202">
      <w:pPr>
        <w:ind w:firstLine="709"/>
        <w:contextualSpacing/>
        <w:jc w:val="both"/>
        <w:rPr>
          <w:rFonts w:ascii="Arial" w:hAnsi="Arial" w:cs="Arial"/>
          <w:color w:val="000000"/>
        </w:rPr>
      </w:pPr>
    </w:p>
    <w:p w:rsidR="008216F7" w:rsidRPr="00814F5C" w:rsidRDefault="008216F7" w:rsidP="008216F7">
      <w:pPr>
        <w:pStyle w:val="a8"/>
        <w:spacing w:before="0" w:beforeAutospacing="0" w:after="0" w:afterAutospacing="0" w:line="216" w:lineRule="auto"/>
        <w:jc w:val="center"/>
        <w:textAlignment w:val="baseline"/>
        <w:rPr>
          <w:rFonts w:ascii="Arial" w:eastAsia="Roboto" w:hAnsi="Arial" w:cs="Arial"/>
          <w:b/>
          <w:bCs/>
          <w:color w:val="000000"/>
          <w:kern w:val="24"/>
          <w:sz w:val="26"/>
          <w:szCs w:val="26"/>
        </w:rPr>
      </w:pPr>
      <w:r w:rsidRPr="00814F5C">
        <w:rPr>
          <w:rFonts w:ascii="Arial" w:eastAsia="Roboto" w:hAnsi="Arial" w:cs="Arial"/>
          <w:b/>
          <w:bCs/>
          <w:color w:val="000000"/>
          <w:kern w:val="24"/>
          <w:sz w:val="26"/>
          <w:szCs w:val="26"/>
        </w:rPr>
        <w:t>Доля торгующих организаций, вкл</w:t>
      </w:r>
      <w:r w:rsidR="00082EE0" w:rsidRPr="00814F5C">
        <w:rPr>
          <w:rFonts w:ascii="Arial" w:eastAsia="Roboto" w:hAnsi="Arial" w:cs="Arial"/>
          <w:b/>
          <w:bCs/>
          <w:color w:val="000000"/>
          <w:kern w:val="24"/>
          <w:sz w:val="26"/>
          <w:szCs w:val="26"/>
        </w:rPr>
        <w:t>ючая</w:t>
      </w:r>
      <w:r w:rsidRPr="00814F5C">
        <w:rPr>
          <w:rFonts w:ascii="Arial" w:eastAsia="Roboto" w:hAnsi="Arial" w:cs="Arial"/>
          <w:b/>
          <w:bCs/>
          <w:color w:val="000000"/>
          <w:kern w:val="24"/>
          <w:sz w:val="26"/>
          <w:szCs w:val="26"/>
        </w:rPr>
        <w:t xml:space="preserve"> ИП, </w:t>
      </w:r>
    </w:p>
    <w:p w:rsidR="009C6FA2" w:rsidRPr="00814F5C" w:rsidRDefault="008216F7" w:rsidP="008216F7">
      <w:pPr>
        <w:pStyle w:val="a8"/>
        <w:spacing w:before="0" w:beforeAutospacing="0" w:after="0" w:afterAutospacing="0" w:line="216" w:lineRule="auto"/>
        <w:jc w:val="center"/>
        <w:textAlignment w:val="baseline"/>
        <w:rPr>
          <w:rFonts w:ascii="Arial" w:eastAsia="Roboto" w:hAnsi="Arial" w:cs="Arial"/>
          <w:b/>
          <w:bCs/>
          <w:color w:val="000000"/>
          <w:kern w:val="24"/>
          <w:sz w:val="26"/>
          <w:szCs w:val="26"/>
        </w:rPr>
      </w:pPr>
      <w:proofErr w:type="gramStart"/>
      <w:r w:rsidRPr="00814F5C">
        <w:rPr>
          <w:rFonts w:ascii="Arial" w:eastAsia="Roboto" w:hAnsi="Arial" w:cs="Arial"/>
          <w:b/>
          <w:bCs/>
          <w:color w:val="000000"/>
          <w:kern w:val="24"/>
          <w:sz w:val="26"/>
          <w:szCs w:val="26"/>
        </w:rPr>
        <w:t>реализующих</w:t>
      </w:r>
      <w:proofErr w:type="gramEnd"/>
      <w:r w:rsidRPr="00814F5C">
        <w:rPr>
          <w:rFonts w:ascii="Arial" w:eastAsia="Roboto" w:hAnsi="Arial" w:cs="Arial"/>
          <w:b/>
          <w:bCs/>
          <w:color w:val="000000"/>
          <w:kern w:val="24"/>
          <w:sz w:val="26"/>
          <w:szCs w:val="26"/>
        </w:rPr>
        <w:t xml:space="preserve"> товары вне рынка,%</w:t>
      </w:r>
    </w:p>
    <w:p w:rsidR="009C6FA2" w:rsidRPr="00814F5C" w:rsidRDefault="008216F7" w:rsidP="0066144E">
      <w:pPr>
        <w:ind w:firstLine="708"/>
        <w:jc w:val="both"/>
        <w:rPr>
          <w:rFonts w:ascii="Arial" w:hAnsi="Arial" w:cs="Arial"/>
        </w:rPr>
      </w:pPr>
      <w:r w:rsidRPr="00814F5C">
        <w:rPr>
          <w:rFonts w:ascii="Arial" w:hAnsi="Arial" w:cs="Arial"/>
          <w:noProof/>
        </w:rPr>
        <w:drawing>
          <wp:anchor distT="0" distB="0" distL="114300" distR="114300" simplePos="0" relativeHeight="251684864" behindDoc="0" locked="0" layoutInCell="1" allowOverlap="1" wp14:anchorId="7C6A8E6C" wp14:editId="1EE6C3F1">
            <wp:simplePos x="0" y="0"/>
            <wp:positionH relativeFrom="column">
              <wp:posOffset>1247775</wp:posOffset>
            </wp:positionH>
            <wp:positionV relativeFrom="paragraph">
              <wp:posOffset>86995</wp:posOffset>
            </wp:positionV>
            <wp:extent cx="3361055" cy="1337310"/>
            <wp:effectExtent l="0" t="0" r="0" b="0"/>
            <wp:wrapTight wrapText="bothSides">
              <wp:wrapPolygon edited="0">
                <wp:start x="0" y="0"/>
                <wp:lineTo x="0" y="21231"/>
                <wp:lineTo x="21425" y="21231"/>
                <wp:lineTo x="21425" y="0"/>
                <wp:lineTo x="0" y="0"/>
              </wp:wrapPolygon>
            </wp:wrapTight>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9C6FA2" w:rsidRPr="00814F5C" w:rsidRDefault="009C6FA2" w:rsidP="0066144E">
      <w:pPr>
        <w:ind w:firstLine="708"/>
        <w:jc w:val="both"/>
        <w:rPr>
          <w:rFonts w:ascii="Arial" w:hAnsi="Arial" w:cs="Arial"/>
        </w:rPr>
      </w:pPr>
    </w:p>
    <w:p w:rsidR="009C6FA2" w:rsidRPr="00814F5C" w:rsidRDefault="009C6FA2" w:rsidP="0066144E">
      <w:pPr>
        <w:ind w:firstLine="708"/>
        <w:jc w:val="both"/>
        <w:rPr>
          <w:rFonts w:ascii="Arial" w:hAnsi="Arial" w:cs="Arial"/>
        </w:rPr>
      </w:pPr>
    </w:p>
    <w:p w:rsidR="009C6FA2" w:rsidRPr="00814F5C" w:rsidRDefault="009C6FA2" w:rsidP="0066144E">
      <w:pPr>
        <w:ind w:firstLine="708"/>
        <w:jc w:val="both"/>
        <w:rPr>
          <w:rFonts w:ascii="Arial" w:hAnsi="Arial" w:cs="Arial"/>
        </w:rPr>
      </w:pPr>
    </w:p>
    <w:p w:rsidR="008216F7" w:rsidRPr="00814F5C" w:rsidRDefault="008216F7" w:rsidP="0066144E">
      <w:pPr>
        <w:ind w:firstLine="708"/>
        <w:jc w:val="both"/>
        <w:rPr>
          <w:rFonts w:ascii="Arial" w:hAnsi="Arial" w:cs="Arial"/>
        </w:rPr>
      </w:pPr>
    </w:p>
    <w:p w:rsidR="008216F7" w:rsidRPr="00814F5C" w:rsidRDefault="008216F7" w:rsidP="0066144E">
      <w:pPr>
        <w:ind w:firstLine="708"/>
        <w:jc w:val="both"/>
        <w:rPr>
          <w:rFonts w:ascii="Arial" w:hAnsi="Arial" w:cs="Arial"/>
        </w:rPr>
      </w:pPr>
    </w:p>
    <w:p w:rsidR="008216F7" w:rsidRPr="00814F5C" w:rsidRDefault="008216F7" w:rsidP="0066144E">
      <w:pPr>
        <w:ind w:firstLine="708"/>
        <w:jc w:val="both"/>
        <w:rPr>
          <w:rFonts w:ascii="Arial" w:hAnsi="Arial" w:cs="Arial"/>
        </w:rPr>
      </w:pPr>
    </w:p>
    <w:p w:rsidR="000C51E7" w:rsidRPr="00814F5C" w:rsidRDefault="000C51E7" w:rsidP="00AF71B2">
      <w:pPr>
        <w:ind w:firstLine="709"/>
        <w:contextualSpacing/>
        <w:jc w:val="both"/>
        <w:rPr>
          <w:rFonts w:ascii="Arial" w:hAnsi="Arial" w:cs="Arial"/>
          <w:color w:val="000000"/>
        </w:rPr>
      </w:pPr>
    </w:p>
    <w:p w:rsidR="00D0213C" w:rsidRPr="00814F5C" w:rsidRDefault="00D0213C" w:rsidP="00D0213C">
      <w:pPr>
        <w:ind w:firstLine="709"/>
        <w:contextualSpacing/>
        <w:jc w:val="both"/>
        <w:rPr>
          <w:rFonts w:ascii="Arial" w:hAnsi="Arial" w:cs="Arial"/>
          <w:bCs/>
        </w:rPr>
      </w:pPr>
      <w:r w:rsidRPr="00814F5C">
        <w:rPr>
          <w:rFonts w:ascii="Arial" w:hAnsi="Arial" w:cs="Arial"/>
          <w:bCs/>
        </w:rPr>
        <w:t>Общий оборот оптовой торговли в I полугодии 2023 года составил 176</w:t>
      </w:r>
      <w:r w:rsidRPr="00814F5C">
        <w:rPr>
          <w:rFonts w:ascii="Arial" w:hAnsi="Arial" w:cs="Arial"/>
          <w:bCs/>
        </w:rPr>
        <w:t>,</w:t>
      </w:r>
      <w:r w:rsidRPr="00814F5C">
        <w:rPr>
          <w:rFonts w:ascii="Arial" w:hAnsi="Arial" w:cs="Arial"/>
          <w:bCs/>
        </w:rPr>
        <w:t>7</w:t>
      </w:r>
      <w:r w:rsidRPr="00814F5C">
        <w:rPr>
          <w:rFonts w:ascii="Arial" w:hAnsi="Arial" w:cs="Arial"/>
          <w:bCs/>
        </w:rPr>
        <w:t xml:space="preserve"> </w:t>
      </w:r>
      <w:proofErr w:type="gramStart"/>
      <w:r w:rsidRPr="00814F5C">
        <w:rPr>
          <w:rFonts w:ascii="Arial" w:hAnsi="Arial" w:cs="Arial"/>
          <w:bCs/>
        </w:rPr>
        <w:t>млрд</w:t>
      </w:r>
      <w:proofErr w:type="gramEnd"/>
      <w:r w:rsidRPr="00814F5C">
        <w:rPr>
          <w:rFonts w:ascii="Arial" w:hAnsi="Arial" w:cs="Arial"/>
          <w:bCs/>
        </w:rPr>
        <w:t xml:space="preserve"> рублей, или 115,8% к I полугодию 2022 года. В общем объеме оборота опт</w:t>
      </w:r>
      <w:r w:rsidRPr="00814F5C">
        <w:rPr>
          <w:rFonts w:ascii="Arial" w:hAnsi="Arial" w:cs="Arial"/>
          <w:bCs/>
        </w:rPr>
        <w:t>о</w:t>
      </w:r>
      <w:r w:rsidRPr="00814F5C">
        <w:rPr>
          <w:rFonts w:ascii="Arial" w:hAnsi="Arial" w:cs="Arial"/>
          <w:bCs/>
        </w:rPr>
        <w:t>вой торговли на долю</w:t>
      </w:r>
      <w:r w:rsidRPr="00814F5C">
        <w:rPr>
          <w:rFonts w:ascii="Arial" w:hAnsi="Arial" w:cs="Arial"/>
          <w:bCs/>
        </w:rPr>
        <w:t xml:space="preserve"> </w:t>
      </w:r>
      <w:r w:rsidRPr="00814F5C">
        <w:rPr>
          <w:rFonts w:ascii="Arial" w:hAnsi="Arial" w:cs="Arial"/>
          <w:bCs/>
        </w:rPr>
        <w:t>организаций, не относящихся к субъектам малого предпр</w:t>
      </w:r>
      <w:r w:rsidRPr="00814F5C">
        <w:rPr>
          <w:rFonts w:ascii="Arial" w:hAnsi="Arial" w:cs="Arial"/>
          <w:bCs/>
        </w:rPr>
        <w:t>и</w:t>
      </w:r>
      <w:r w:rsidRPr="00814F5C">
        <w:rPr>
          <w:rFonts w:ascii="Arial" w:hAnsi="Arial" w:cs="Arial"/>
          <w:bCs/>
        </w:rPr>
        <w:t>нимательства, приходилось 42,1%,</w:t>
      </w:r>
      <w:r w:rsidRPr="00814F5C">
        <w:rPr>
          <w:rFonts w:ascii="Arial" w:hAnsi="Arial" w:cs="Arial"/>
          <w:bCs/>
        </w:rPr>
        <w:t xml:space="preserve"> </w:t>
      </w:r>
      <w:r w:rsidRPr="00814F5C">
        <w:rPr>
          <w:rFonts w:ascii="Arial" w:hAnsi="Arial" w:cs="Arial"/>
          <w:bCs/>
        </w:rPr>
        <w:t>на долю су</w:t>
      </w:r>
      <w:bookmarkStart w:id="0" w:name="_GoBack"/>
      <w:bookmarkEnd w:id="0"/>
      <w:r w:rsidRPr="00814F5C">
        <w:rPr>
          <w:rFonts w:ascii="Arial" w:hAnsi="Arial" w:cs="Arial"/>
          <w:bCs/>
        </w:rPr>
        <w:t>бъектов малого предпринимател</w:t>
      </w:r>
      <w:r w:rsidRPr="00814F5C">
        <w:rPr>
          <w:rFonts w:ascii="Arial" w:hAnsi="Arial" w:cs="Arial"/>
          <w:bCs/>
        </w:rPr>
        <w:t>ь</w:t>
      </w:r>
      <w:r w:rsidRPr="00814F5C">
        <w:rPr>
          <w:rFonts w:ascii="Arial" w:hAnsi="Arial" w:cs="Arial"/>
          <w:bCs/>
        </w:rPr>
        <w:t xml:space="preserve">ства – 57,9%. </w:t>
      </w:r>
    </w:p>
    <w:p w:rsidR="0061689B" w:rsidRPr="00814F5C" w:rsidRDefault="0061689B" w:rsidP="00082EE0">
      <w:pPr>
        <w:ind w:firstLine="709"/>
        <w:contextualSpacing/>
        <w:jc w:val="both"/>
        <w:rPr>
          <w:rFonts w:ascii="Arial" w:hAnsi="Arial" w:cs="Arial"/>
        </w:rPr>
      </w:pPr>
    </w:p>
    <w:p w:rsidR="0061689B" w:rsidRPr="00814F5C" w:rsidRDefault="0061689B" w:rsidP="0061689B">
      <w:pPr>
        <w:pStyle w:val="a8"/>
        <w:spacing w:before="0" w:beforeAutospacing="0" w:after="0" w:afterAutospacing="0" w:line="216" w:lineRule="auto"/>
        <w:jc w:val="center"/>
        <w:textAlignment w:val="baseline"/>
        <w:rPr>
          <w:sz w:val="26"/>
          <w:szCs w:val="26"/>
        </w:rPr>
      </w:pPr>
      <w:r w:rsidRPr="00814F5C">
        <w:rPr>
          <w:rFonts w:ascii="Arial" w:eastAsia="Roboto" w:hAnsi="Arial" w:cs="Arial"/>
          <w:b/>
          <w:bCs/>
          <w:color w:val="000000"/>
          <w:kern w:val="24"/>
          <w:sz w:val="26"/>
          <w:szCs w:val="26"/>
        </w:rPr>
        <w:t>Динамика оборота оптовой торговли</w:t>
      </w:r>
    </w:p>
    <w:p w:rsidR="0061689B" w:rsidRPr="00814F5C" w:rsidRDefault="0061689B" w:rsidP="0061689B">
      <w:pPr>
        <w:pStyle w:val="a8"/>
        <w:spacing w:before="0" w:beforeAutospacing="0" w:after="0" w:afterAutospacing="0"/>
        <w:jc w:val="center"/>
        <w:textAlignment w:val="baseline"/>
        <w:rPr>
          <w:sz w:val="20"/>
        </w:rPr>
      </w:pPr>
      <w:r w:rsidRPr="00814F5C">
        <w:rPr>
          <w:rFonts w:ascii="Arial" w:eastAsia="Segoe UI Black" w:hAnsi="Arial" w:cs="Arial"/>
          <w:i/>
          <w:iCs/>
          <w:color w:val="000000"/>
          <w:sz w:val="18"/>
          <w:szCs w:val="22"/>
        </w:rPr>
        <w:t xml:space="preserve">в сопоставимых ценах </w:t>
      </w:r>
      <w:proofErr w:type="gramStart"/>
      <w:r w:rsidRPr="00814F5C">
        <w:rPr>
          <w:rFonts w:ascii="Arial" w:eastAsia="Segoe UI Black" w:hAnsi="Arial" w:cs="Arial"/>
          <w:i/>
          <w:iCs/>
          <w:color w:val="000000"/>
          <w:sz w:val="18"/>
          <w:szCs w:val="22"/>
        </w:rPr>
        <w:t>в</w:t>
      </w:r>
      <w:proofErr w:type="gramEnd"/>
      <w:r w:rsidRPr="00814F5C">
        <w:rPr>
          <w:rFonts w:ascii="Arial" w:eastAsia="Segoe UI Black" w:hAnsi="Arial" w:cs="Arial"/>
          <w:i/>
          <w:iCs/>
          <w:color w:val="000000"/>
          <w:sz w:val="18"/>
          <w:szCs w:val="22"/>
        </w:rPr>
        <w:t xml:space="preserve"> % к соответствующему периоду предыдущего года</w:t>
      </w:r>
    </w:p>
    <w:p w:rsidR="0061689B" w:rsidRPr="00814F5C" w:rsidRDefault="007A7403" w:rsidP="00082EE0">
      <w:pPr>
        <w:ind w:firstLine="709"/>
        <w:contextualSpacing/>
        <w:jc w:val="both"/>
        <w:rPr>
          <w:rFonts w:ascii="Arial" w:hAnsi="Arial" w:cs="Arial"/>
        </w:rPr>
      </w:pPr>
      <w:r w:rsidRPr="00814F5C">
        <w:rPr>
          <w:rFonts w:ascii="Arial" w:hAnsi="Arial" w:cs="Arial"/>
          <w:noProof/>
        </w:rPr>
        <w:drawing>
          <wp:anchor distT="0" distB="0" distL="114300" distR="114300" simplePos="0" relativeHeight="251702272" behindDoc="0" locked="0" layoutInCell="1" allowOverlap="1" wp14:anchorId="15F7AE06" wp14:editId="59DBDBDE">
            <wp:simplePos x="0" y="0"/>
            <wp:positionH relativeFrom="column">
              <wp:posOffset>-27940</wp:posOffset>
            </wp:positionH>
            <wp:positionV relativeFrom="paragraph">
              <wp:posOffset>173990</wp:posOffset>
            </wp:positionV>
            <wp:extent cx="6028055" cy="1403350"/>
            <wp:effectExtent l="0" t="0" r="0" b="6350"/>
            <wp:wrapTight wrapText="bothSides">
              <wp:wrapPolygon edited="0">
                <wp:start x="9283" y="1173"/>
                <wp:lineTo x="0" y="2052"/>
                <wp:lineTo x="0" y="10556"/>
                <wp:lineTo x="1638" y="11142"/>
                <wp:lineTo x="10785" y="11142"/>
                <wp:lineTo x="205" y="12608"/>
                <wp:lineTo x="137" y="13781"/>
                <wp:lineTo x="1024" y="15833"/>
                <wp:lineTo x="1024" y="17006"/>
                <wp:lineTo x="10307" y="21405"/>
                <wp:lineTo x="10717" y="21405"/>
                <wp:lineTo x="12560" y="21111"/>
                <wp:lineTo x="20615" y="16420"/>
                <wp:lineTo x="20751" y="14954"/>
                <wp:lineTo x="18294" y="13781"/>
                <wp:lineTo x="10785" y="11142"/>
                <wp:lineTo x="18908" y="11142"/>
                <wp:lineTo x="21161" y="10262"/>
                <wp:lineTo x="21093" y="6157"/>
                <wp:lineTo x="15973" y="4105"/>
                <wp:lineTo x="10649" y="1173"/>
                <wp:lineTo x="9283" y="1173"/>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61689B" w:rsidRPr="00814F5C" w:rsidRDefault="0061689B" w:rsidP="00082EE0">
      <w:pPr>
        <w:ind w:firstLine="709"/>
        <w:contextualSpacing/>
        <w:jc w:val="both"/>
        <w:rPr>
          <w:rFonts w:ascii="Arial" w:hAnsi="Arial" w:cs="Arial"/>
        </w:rPr>
      </w:pPr>
    </w:p>
    <w:p w:rsidR="0061689B" w:rsidRPr="00814F5C" w:rsidRDefault="0061689B" w:rsidP="00082EE0">
      <w:pPr>
        <w:ind w:firstLine="709"/>
        <w:contextualSpacing/>
        <w:jc w:val="both"/>
        <w:rPr>
          <w:rFonts w:ascii="Arial" w:hAnsi="Arial" w:cs="Arial"/>
        </w:rPr>
      </w:pPr>
    </w:p>
    <w:p w:rsidR="0061689B" w:rsidRPr="00814F5C" w:rsidRDefault="0061689B" w:rsidP="00082EE0">
      <w:pPr>
        <w:ind w:firstLine="709"/>
        <w:contextualSpacing/>
        <w:jc w:val="both"/>
        <w:rPr>
          <w:rFonts w:ascii="Arial" w:hAnsi="Arial" w:cs="Arial"/>
        </w:rPr>
      </w:pPr>
    </w:p>
    <w:p w:rsidR="0061689B" w:rsidRPr="00814F5C" w:rsidRDefault="0061689B" w:rsidP="00082EE0">
      <w:pPr>
        <w:ind w:firstLine="709"/>
        <w:contextualSpacing/>
        <w:jc w:val="both"/>
        <w:rPr>
          <w:rFonts w:ascii="Arial" w:hAnsi="Arial" w:cs="Arial"/>
        </w:rPr>
      </w:pPr>
    </w:p>
    <w:p w:rsidR="00913D7F" w:rsidRPr="00814F5C" w:rsidRDefault="00913D7F" w:rsidP="00913D7F">
      <w:pPr>
        <w:contextualSpacing/>
        <w:jc w:val="both"/>
        <w:rPr>
          <w:rFonts w:ascii="Arial" w:hAnsi="Arial" w:cs="Arial"/>
        </w:rPr>
      </w:pPr>
    </w:p>
    <w:p w:rsidR="00553E6F" w:rsidRPr="00814F5C" w:rsidRDefault="00553E6F" w:rsidP="00395AE6">
      <w:pPr>
        <w:ind w:firstLine="709"/>
        <w:contextualSpacing/>
        <w:jc w:val="both"/>
        <w:rPr>
          <w:rFonts w:ascii="Arial" w:hAnsi="Arial" w:cs="Arial"/>
        </w:rPr>
      </w:pPr>
    </w:p>
    <w:p w:rsidR="00395AE6" w:rsidRPr="00814F5C" w:rsidRDefault="00B74088" w:rsidP="00395AE6">
      <w:pPr>
        <w:ind w:firstLine="709"/>
        <w:contextualSpacing/>
        <w:jc w:val="both"/>
        <w:rPr>
          <w:rFonts w:ascii="Arial" w:hAnsi="Arial" w:cs="Arial"/>
        </w:rPr>
      </w:pPr>
      <w:r w:rsidRPr="00814F5C">
        <w:rPr>
          <w:rFonts w:ascii="Arial" w:hAnsi="Arial" w:cs="Arial"/>
        </w:rPr>
        <w:t xml:space="preserve">Объем платных услуг населению </w:t>
      </w:r>
      <w:r w:rsidR="003446B3" w:rsidRPr="00814F5C">
        <w:rPr>
          <w:rFonts w:ascii="Arial" w:hAnsi="Arial" w:cs="Arial"/>
        </w:rPr>
        <w:t xml:space="preserve">в I </w:t>
      </w:r>
      <w:r w:rsidR="009121AB" w:rsidRPr="00814F5C">
        <w:rPr>
          <w:rFonts w:ascii="Arial" w:hAnsi="Arial" w:cs="Arial"/>
          <w:bCs/>
        </w:rPr>
        <w:t>полугодии</w:t>
      </w:r>
      <w:r w:rsidR="003446B3" w:rsidRPr="00814F5C">
        <w:rPr>
          <w:rFonts w:ascii="Arial" w:hAnsi="Arial" w:cs="Arial"/>
        </w:rPr>
        <w:t xml:space="preserve"> 2023 </w:t>
      </w:r>
      <w:r w:rsidRPr="00814F5C">
        <w:rPr>
          <w:rFonts w:ascii="Arial" w:hAnsi="Arial" w:cs="Arial"/>
        </w:rPr>
        <w:t xml:space="preserve">г. составил </w:t>
      </w:r>
      <w:r w:rsidR="009121AB" w:rsidRPr="00814F5C">
        <w:rPr>
          <w:rFonts w:ascii="Arial" w:hAnsi="Arial" w:cs="Arial"/>
        </w:rPr>
        <w:t>35,6</w:t>
      </w:r>
      <w:r w:rsidRPr="00814F5C">
        <w:rPr>
          <w:rFonts w:ascii="Arial" w:hAnsi="Arial" w:cs="Arial"/>
        </w:rPr>
        <w:t xml:space="preserve"> млрд. рублей, или </w:t>
      </w:r>
      <w:r w:rsidR="003446B3" w:rsidRPr="00814F5C">
        <w:rPr>
          <w:rFonts w:ascii="Arial" w:hAnsi="Arial" w:cs="Arial"/>
        </w:rPr>
        <w:t>102,</w:t>
      </w:r>
      <w:r w:rsidR="009121AB" w:rsidRPr="00814F5C">
        <w:rPr>
          <w:rFonts w:ascii="Arial" w:hAnsi="Arial" w:cs="Arial"/>
        </w:rPr>
        <w:t>5</w:t>
      </w:r>
      <w:r w:rsidRPr="00814F5C">
        <w:rPr>
          <w:rFonts w:ascii="Arial" w:hAnsi="Arial" w:cs="Arial"/>
        </w:rPr>
        <w:t xml:space="preserve">% </w:t>
      </w:r>
      <w:r w:rsidR="003446B3" w:rsidRPr="00814F5C">
        <w:rPr>
          <w:rFonts w:ascii="Arial" w:hAnsi="Arial" w:cs="Arial"/>
        </w:rPr>
        <w:t xml:space="preserve">к соответствующему периоду прошлого года </w:t>
      </w:r>
      <w:r w:rsidRPr="00814F5C">
        <w:rPr>
          <w:rFonts w:ascii="Arial" w:hAnsi="Arial" w:cs="Arial"/>
        </w:rPr>
        <w:t xml:space="preserve">(по России </w:t>
      </w:r>
      <w:r w:rsidR="00627287" w:rsidRPr="00814F5C">
        <w:rPr>
          <w:rFonts w:ascii="Arial" w:hAnsi="Arial" w:cs="Arial"/>
        </w:rPr>
        <w:t>и</w:t>
      </w:r>
      <w:r w:rsidRPr="00814F5C">
        <w:rPr>
          <w:rFonts w:ascii="Arial" w:hAnsi="Arial" w:cs="Arial"/>
        </w:rPr>
        <w:t xml:space="preserve"> ПФО – 10</w:t>
      </w:r>
      <w:r w:rsidR="006732E3" w:rsidRPr="00814F5C">
        <w:rPr>
          <w:rFonts w:ascii="Arial" w:hAnsi="Arial" w:cs="Arial"/>
        </w:rPr>
        <w:t>3,</w:t>
      </w:r>
      <w:r w:rsidR="00075314" w:rsidRPr="00814F5C">
        <w:rPr>
          <w:rFonts w:ascii="Arial" w:hAnsi="Arial" w:cs="Arial"/>
        </w:rPr>
        <w:t>8</w:t>
      </w:r>
      <w:r w:rsidR="006732E3" w:rsidRPr="00814F5C">
        <w:rPr>
          <w:rFonts w:ascii="Arial" w:hAnsi="Arial" w:cs="Arial"/>
        </w:rPr>
        <w:t>%</w:t>
      </w:r>
      <w:r w:rsidRPr="00814F5C">
        <w:rPr>
          <w:rFonts w:ascii="Arial" w:hAnsi="Arial" w:cs="Arial"/>
        </w:rPr>
        <w:t xml:space="preserve">). </w:t>
      </w:r>
    </w:p>
    <w:p w:rsidR="00395AE6" w:rsidRPr="00814F5C" w:rsidRDefault="00395AE6" w:rsidP="00395AE6">
      <w:pPr>
        <w:ind w:firstLine="709"/>
        <w:contextualSpacing/>
        <w:jc w:val="both"/>
        <w:rPr>
          <w:rFonts w:ascii="Arial" w:hAnsi="Arial" w:cs="Arial"/>
        </w:rPr>
      </w:pPr>
      <w:r w:rsidRPr="00814F5C">
        <w:rPr>
          <w:rFonts w:ascii="Arial" w:hAnsi="Arial" w:cs="Arial"/>
        </w:rPr>
        <w:t xml:space="preserve">Среди регионов ПФО по темпу роста показателя Чувашия заняла </w:t>
      </w:r>
      <w:r w:rsidR="00580E8F" w:rsidRPr="00814F5C">
        <w:rPr>
          <w:rFonts w:ascii="Arial" w:hAnsi="Arial" w:cs="Arial"/>
        </w:rPr>
        <w:t>9</w:t>
      </w:r>
      <w:r w:rsidRPr="00814F5C">
        <w:rPr>
          <w:rFonts w:ascii="Arial" w:hAnsi="Arial" w:cs="Arial"/>
        </w:rPr>
        <w:t xml:space="preserve"> место, среди субъектов Российской Федерации - </w:t>
      </w:r>
      <w:r w:rsidR="00580E8F" w:rsidRPr="00814F5C">
        <w:rPr>
          <w:rFonts w:ascii="Arial" w:hAnsi="Arial" w:cs="Arial"/>
        </w:rPr>
        <w:t>25</w:t>
      </w:r>
      <w:r w:rsidRPr="00814F5C">
        <w:rPr>
          <w:rFonts w:ascii="Arial" w:hAnsi="Arial" w:cs="Arial"/>
        </w:rPr>
        <w:t xml:space="preserve"> место. </w:t>
      </w:r>
    </w:p>
    <w:p w:rsidR="00B74088" w:rsidRPr="00814F5C" w:rsidRDefault="00B74088" w:rsidP="00B74088">
      <w:pPr>
        <w:ind w:firstLine="709"/>
        <w:contextualSpacing/>
        <w:jc w:val="both"/>
        <w:rPr>
          <w:rFonts w:ascii="Arial" w:hAnsi="Arial" w:cs="Arial"/>
        </w:rPr>
      </w:pPr>
    </w:p>
    <w:p w:rsidR="00DB73E4" w:rsidRPr="00814F5C" w:rsidRDefault="00DB73E4" w:rsidP="00B74088">
      <w:pPr>
        <w:ind w:firstLine="709"/>
        <w:contextualSpacing/>
        <w:jc w:val="both"/>
        <w:rPr>
          <w:rFonts w:ascii="Arial" w:hAnsi="Arial" w:cs="Arial"/>
        </w:rPr>
      </w:pPr>
    </w:p>
    <w:p w:rsidR="00B935D6" w:rsidRPr="00814F5C" w:rsidRDefault="00B935D6" w:rsidP="00B935D6">
      <w:pPr>
        <w:pStyle w:val="a8"/>
        <w:spacing w:before="0" w:beforeAutospacing="0" w:after="0" w:afterAutospacing="0" w:line="216" w:lineRule="auto"/>
        <w:jc w:val="center"/>
        <w:textAlignment w:val="baseline"/>
        <w:rPr>
          <w:sz w:val="26"/>
          <w:szCs w:val="26"/>
        </w:rPr>
      </w:pPr>
      <w:r w:rsidRPr="00814F5C">
        <w:rPr>
          <w:rFonts w:ascii="Arial" w:eastAsia="Roboto" w:hAnsi="Arial" w:cs="Arial"/>
          <w:b/>
          <w:bCs/>
          <w:color w:val="000000"/>
          <w:kern w:val="24"/>
          <w:sz w:val="26"/>
          <w:szCs w:val="26"/>
        </w:rPr>
        <w:t>Динамика объема платных услуг населению</w:t>
      </w:r>
    </w:p>
    <w:p w:rsidR="00B935D6" w:rsidRPr="00814F5C" w:rsidRDefault="00B935D6" w:rsidP="00B935D6">
      <w:pPr>
        <w:pStyle w:val="a8"/>
        <w:spacing w:before="0" w:beforeAutospacing="0" w:after="0" w:afterAutospacing="0"/>
        <w:jc w:val="center"/>
        <w:textAlignment w:val="baseline"/>
        <w:rPr>
          <w:sz w:val="20"/>
        </w:rPr>
      </w:pPr>
      <w:r w:rsidRPr="00814F5C">
        <w:rPr>
          <w:rFonts w:ascii="Arial" w:eastAsia="Segoe UI Black" w:hAnsi="Arial" w:cs="Arial"/>
          <w:i/>
          <w:iCs/>
          <w:color w:val="000000"/>
          <w:sz w:val="18"/>
          <w:szCs w:val="22"/>
        </w:rPr>
        <w:t xml:space="preserve">в сопоставимых  ценах </w:t>
      </w:r>
      <w:proofErr w:type="gramStart"/>
      <w:r w:rsidRPr="00814F5C">
        <w:rPr>
          <w:rFonts w:ascii="Arial" w:eastAsia="Segoe UI Black" w:hAnsi="Arial" w:cs="Arial"/>
          <w:i/>
          <w:iCs/>
          <w:color w:val="000000"/>
          <w:sz w:val="18"/>
          <w:szCs w:val="22"/>
        </w:rPr>
        <w:t>в</w:t>
      </w:r>
      <w:proofErr w:type="gramEnd"/>
      <w:r w:rsidRPr="00814F5C">
        <w:rPr>
          <w:rFonts w:ascii="Arial" w:eastAsia="Segoe UI Black" w:hAnsi="Arial" w:cs="Arial"/>
          <w:i/>
          <w:iCs/>
          <w:color w:val="000000"/>
          <w:sz w:val="18"/>
          <w:szCs w:val="22"/>
        </w:rPr>
        <w:t xml:space="preserve"> % к соответствующему периоду предыдущего года</w:t>
      </w:r>
    </w:p>
    <w:p w:rsidR="00B935D6" w:rsidRPr="00814F5C" w:rsidRDefault="005344CF" w:rsidP="004E58D5">
      <w:pPr>
        <w:ind w:firstLine="709"/>
        <w:contextualSpacing/>
        <w:jc w:val="both"/>
        <w:rPr>
          <w:rFonts w:ascii="Arial" w:hAnsi="Arial" w:cs="Arial"/>
        </w:rPr>
      </w:pPr>
      <w:r w:rsidRPr="00814F5C">
        <w:rPr>
          <w:rFonts w:ascii="Arial" w:hAnsi="Arial" w:cs="Arial"/>
          <w:noProof/>
        </w:rPr>
        <w:drawing>
          <wp:anchor distT="0" distB="0" distL="114300" distR="114300" simplePos="0" relativeHeight="251686912" behindDoc="0" locked="0" layoutInCell="1" allowOverlap="1" wp14:anchorId="628EBC9F" wp14:editId="18E70BF6">
            <wp:simplePos x="0" y="0"/>
            <wp:positionH relativeFrom="column">
              <wp:posOffset>-94615</wp:posOffset>
            </wp:positionH>
            <wp:positionV relativeFrom="paragraph">
              <wp:posOffset>62230</wp:posOffset>
            </wp:positionV>
            <wp:extent cx="6028055" cy="1786255"/>
            <wp:effectExtent l="0" t="0" r="0" b="4445"/>
            <wp:wrapTight wrapText="bothSides">
              <wp:wrapPolygon edited="0">
                <wp:start x="205" y="691"/>
                <wp:lineTo x="137" y="3916"/>
                <wp:lineTo x="4983" y="4838"/>
                <wp:lineTo x="273" y="5298"/>
                <wp:lineTo x="137" y="6680"/>
                <wp:lineTo x="2116" y="8523"/>
                <wp:lineTo x="205" y="10366"/>
                <wp:lineTo x="205" y="11288"/>
                <wp:lineTo x="1570" y="12209"/>
                <wp:lineTo x="410" y="14743"/>
                <wp:lineTo x="341" y="15895"/>
                <wp:lineTo x="819" y="15895"/>
                <wp:lineTo x="819" y="18429"/>
                <wp:lineTo x="4232" y="19581"/>
                <wp:lineTo x="6348" y="19581"/>
                <wp:lineTo x="6348" y="21193"/>
                <wp:lineTo x="13038" y="21423"/>
                <wp:lineTo x="13447" y="21423"/>
                <wp:lineTo x="15154" y="21193"/>
                <wp:lineTo x="15017" y="19581"/>
                <wp:lineTo x="10785" y="19581"/>
                <wp:lineTo x="20888" y="18429"/>
                <wp:lineTo x="20820" y="16586"/>
                <wp:lineTo x="5529" y="15895"/>
                <wp:lineTo x="20820" y="13130"/>
                <wp:lineTo x="20820" y="12209"/>
                <wp:lineTo x="21093" y="10366"/>
                <wp:lineTo x="21161" y="8754"/>
                <wp:lineTo x="20956" y="8523"/>
                <wp:lineTo x="21366" y="7602"/>
                <wp:lineTo x="21366" y="6450"/>
                <wp:lineTo x="20956" y="4838"/>
                <wp:lineTo x="21093" y="3686"/>
                <wp:lineTo x="1365" y="691"/>
                <wp:lineTo x="205" y="691"/>
              </wp:wrapPolygon>
            </wp:wrapTight>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B935D6" w:rsidRPr="00814F5C" w:rsidRDefault="00B935D6" w:rsidP="004E58D5">
      <w:pPr>
        <w:ind w:firstLine="709"/>
        <w:contextualSpacing/>
        <w:jc w:val="both"/>
        <w:rPr>
          <w:rFonts w:ascii="Arial" w:hAnsi="Arial" w:cs="Arial"/>
        </w:rPr>
      </w:pPr>
    </w:p>
    <w:p w:rsidR="00B935D6" w:rsidRPr="00814F5C" w:rsidRDefault="00B935D6" w:rsidP="004E58D5">
      <w:pPr>
        <w:ind w:firstLine="709"/>
        <w:contextualSpacing/>
        <w:jc w:val="both"/>
        <w:rPr>
          <w:rFonts w:ascii="Arial" w:hAnsi="Arial" w:cs="Arial"/>
        </w:rPr>
      </w:pPr>
    </w:p>
    <w:p w:rsidR="006732E3" w:rsidRPr="00814F5C" w:rsidRDefault="006732E3" w:rsidP="008E00CC">
      <w:pPr>
        <w:ind w:firstLine="709"/>
        <w:contextualSpacing/>
        <w:jc w:val="both"/>
        <w:rPr>
          <w:rFonts w:ascii="Arial" w:hAnsi="Arial" w:cs="Arial"/>
        </w:rPr>
      </w:pPr>
      <w:r w:rsidRPr="00814F5C">
        <w:rPr>
          <w:rFonts w:ascii="Arial" w:hAnsi="Arial" w:cs="Arial"/>
        </w:rPr>
        <w:t xml:space="preserve">Возросли объемы услуг культуры (на </w:t>
      </w:r>
      <w:r w:rsidR="000C78B9" w:rsidRPr="00814F5C">
        <w:rPr>
          <w:rFonts w:ascii="Arial" w:hAnsi="Arial" w:cs="Arial"/>
        </w:rPr>
        <w:t>18,9</w:t>
      </w:r>
      <w:r w:rsidRPr="00814F5C">
        <w:rPr>
          <w:rFonts w:ascii="Arial" w:hAnsi="Arial" w:cs="Arial"/>
        </w:rPr>
        <w:t xml:space="preserve">%), гостиниц (на </w:t>
      </w:r>
      <w:r w:rsidR="000C78B9" w:rsidRPr="00814F5C">
        <w:rPr>
          <w:rFonts w:ascii="Arial" w:hAnsi="Arial" w:cs="Arial"/>
        </w:rPr>
        <w:t>7,3</w:t>
      </w:r>
      <w:r w:rsidRPr="00814F5C">
        <w:rPr>
          <w:rFonts w:ascii="Arial" w:hAnsi="Arial" w:cs="Arial"/>
        </w:rPr>
        <w:t>%), специал</w:t>
      </w:r>
      <w:r w:rsidRPr="00814F5C">
        <w:rPr>
          <w:rFonts w:ascii="Arial" w:hAnsi="Arial" w:cs="Arial"/>
        </w:rPr>
        <w:t>и</w:t>
      </w:r>
      <w:r w:rsidRPr="00814F5C">
        <w:rPr>
          <w:rFonts w:ascii="Arial" w:hAnsi="Arial" w:cs="Arial"/>
        </w:rPr>
        <w:t xml:space="preserve">зированных коллективных средств размещения (на </w:t>
      </w:r>
      <w:r w:rsidR="000C78B9" w:rsidRPr="00814F5C">
        <w:rPr>
          <w:rFonts w:ascii="Arial" w:hAnsi="Arial" w:cs="Arial"/>
        </w:rPr>
        <w:t>24,4%),</w:t>
      </w:r>
      <w:r w:rsidRPr="00814F5C">
        <w:rPr>
          <w:rFonts w:ascii="Arial" w:hAnsi="Arial" w:cs="Arial"/>
        </w:rPr>
        <w:t xml:space="preserve">медицинских (на </w:t>
      </w:r>
      <w:r w:rsidR="000C78B9" w:rsidRPr="00814F5C">
        <w:rPr>
          <w:rFonts w:ascii="Arial" w:hAnsi="Arial" w:cs="Arial"/>
        </w:rPr>
        <w:t>8,0</w:t>
      </w:r>
      <w:r w:rsidRPr="00814F5C">
        <w:rPr>
          <w:rFonts w:ascii="Arial" w:hAnsi="Arial" w:cs="Arial"/>
        </w:rPr>
        <w:t xml:space="preserve">%), </w:t>
      </w:r>
      <w:r w:rsidR="008E00CC" w:rsidRPr="00814F5C">
        <w:rPr>
          <w:rFonts w:ascii="Arial" w:hAnsi="Arial" w:cs="Arial"/>
        </w:rPr>
        <w:t xml:space="preserve">бытовых услуг (на </w:t>
      </w:r>
      <w:r w:rsidR="000C78B9" w:rsidRPr="00814F5C">
        <w:rPr>
          <w:rFonts w:ascii="Arial" w:hAnsi="Arial" w:cs="Arial"/>
        </w:rPr>
        <w:t>5,9</w:t>
      </w:r>
      <w:r w:rsidR="008E00CC" w:rsidRPr="00814F5C">
        <w:rPr>
          <w:rFonts w:ascii="Arial" w:hAnsi="Arial" w:cs="Arial"/>
        </w:rPr>
        <w:t xml:space="preserve">%), жилищных (на </w:t>
      </w:r>
      <w:r w:rsidR="000C78B9" w:rsidRPr="00814F5C">
        <w:rPr>
          <w:rFonts w:ascii="Arial" w:hAnsi="Arial" w:cs="Arial"/>
        </w:rPr>
        <w:t>3,0</w:t>
      </w:r>
      <w:r w:rsidR="008E00CC" w:rsidRPr="00814F5C">
        <w:rPr>
          <w:rFonts w:ascii="Arial" w:hAnsi="Arial" w:cs="Arial"/>
        </w:rPr>
        <w:t>%), телекоммуникационных (</w:t>
      </w:r>
      <w:r w:rsidR="000E0B4C" w:rsidRPr="00814F5C">
        <w:rPr>
          <w:rFonts w:ascii="Arial" w:hAnsi="Arial" w:cs="Arial"/>
        </w:rPr>
        <w:t xml:space="preserve">на </w:t>
      </w:r>
      <w:r w:rsidR="000C78B9" w:rsidRPr="00814F5C">
        <w:rPr>
          <w:rFonts w:ascii="Arial" w:hAnsi="Arial" w:cs="Arial"/>
        </w:rPr>
        <w:t>2,9</w:t>
      </w:r>
      <w:r w:rsidR="008E00CC" w:rsidRPr="00814F5C">
        <w:rPr>
          <w:rFonts w:ascii="Arial" w:hAnsi="Arial" w:cs="Arial"/>
        </w:rPr>
        <w:t>%), услуг физической культуры и спорта (</w:t>
      </w:r>
      <w:proofErr w:type="gramStart"/>
      <w:r w:rsidR="008E00CC" w:rsidRPr="00814F5C">
        <w:rPr>
          <w:rFonts w:ascii="Arial" w:hAnsi="Arial" w:cs="Arial"/>
        </w:rPr>
        <w:t>на</w:t>
      </w:r>
      <w:proofErr w:type="gramEnd"/>
      <w:r w:rsidR="008E00CC" w:rsidRPr="00814F5C">
        <w:rPr>
          <w:rFonts w:ascii="Arial" w:hAnsi="Arial" w:cs="Arial"/>
        </w:rPr>
        <w:t xml:space="preserve"> </w:t>
      </w:r>
      <w:r w:rsidR="000C78B9" w:rsidRPr="00814F5C">
        <w:rPr>
          <w:rFonts w:ascii="Arial" w:hAnsi="Arial" w:cs="Arial"/>
        </w:rPr>
        <w:t>4,2</w:t>
      </w:r>
      <w:r w:rsidR="000D1E1D" w:rsidRPr="00814F5C">
        <w:rPr>
          <w:rFonts w:ascii="Arial" w:hAnsi="Arial" w:cs="Arial"/>
        </w:rPr>
        <w:t>%)</w:t>
      </w:r>
      <w:r w:rsidR="000E0B4C" w:rsidRPr="00814F5C">
        <w:rPr>
          <w:rFonts w:ascii="Arial" w:hAnsi="Arial" w:cs="Arial"/>
        </w:rPr>
        <w:t>.</w:t>
      </w:r>
    </w:p>
    <w:p w:rsidR="006732E3" w:rsidRPr="00814F5C" w:rsidRDefault="006732E3" w:rsidP="004E58D5">
      <w:pPr>
        <w:ind w:firstLine="709"/>
        <w:contextualSpacing/>
        <w:jc w:val="both"/>
        <w:rPr>
          <w:rFonts w:ascii="Arial" w:hAnsi="Arial" w:cs="Arial"/>
        </w:rPr>
      </w:pPr>
    </w:p>
    <w:p w:rsidR="00B935D6" w:rsidRPr="00814F5C" w:rsidRDefault="00691AD6" w:rsidP="004E58D5">
      <w:pPr>
        <w:ind w:firstLine="709"/>
        <w:contextualSpacing/>
        <w:jc w:val="both"/>
        <w:rPr>
          <w:rFonts w:ascii="Arial" w:hAnsi="Arial" w:cs="Arial"/>
        </w:rPr>
      </w:pPr>
      <w:r w:rsidRPr="00814F5C">
        <w:rPr>
          <w:noProof/>
        </w:rPr>
        <mc:AlternateContent>
          <mc:Choice Requires="wps">
            <w:drawing>
              <wp:anchor distT="0" distB="0" distL="114300" distR="114300" simplePos="0" relativeHeight="251689984" behindDoc="0" locked="0" layoutInCell="1" allowOverlap="1" wp14:anchorId="72C29AEE" wp14:editId="2EBE9000">
                <wp:simplePos x="0" y="0"/>
                <wp:positionH relativeFrom="column">
                  <wp:posOffset>740715</wp:posOffset>
                </wp:positionH>
                <wp:positionV relativeFrom="paragraph">
                  <wp:posOffset>22363</wp:posOffset>
                </wp:positionV>
                <wp:extent cx="4508030" cy="288290"/>
                <wp:effectExtent l="0" t="0" r="0" b="0"/>
                <wp:wrapNone/>
                <wp:docPr id="20" name="TextBox 6"/>
                <wp:cNvGraphicFramePr/>
                <a:graphic xmlns:a="http://schemas.openxmlformats.org/drawingml/2006/main">
                  <a:graphicData uri="http://schemas.microsoft.com/office/word/2010/wordprocessingShape">
                    <wps:wsp>
                      <wps:cNvSpPr txBox="1"/>
                      <wps:spPr>
                        <a:xfrm>
                          <a:off x="0" y="0"/>
                          <a:ext cx="4508030" cy="288290"/>
                        </a:xfrm>
                        <a:prstGeom prst="rect">
                          <a:avLst/>
                        </a:prstGeom>
                        <a:noFill/>
                      </wps:spPr>
                      <wps:txbx>
                        <w:txbxContent>
                          <w:p w:rsidR="00F42593" w:rsidRPr="00691AD6" w:rsidRDefault="00F42593" w:rsidP="00691AD6">
                            <w:pPr>
                              <w:pStyle w:val="a8"/>
                              <w:spacing w:before="0" w:beforeAutospacing="0" w:after="0" w:afterAutospacing="0"/>
                              <w:jc w:val="center"/>
                              <w:rPr>
                                <w:sz w:val="22"/>
                              </w:rPr>
                            </w:pPr>
                            <w:r w:rsidRPr="00120361">
                              <w:rPr>
                                <w:rFonts w:ascii="Arial" w:eastAsia="Roboto" w:hAnsi="Arial" w:cs="Arial"/>
                                <w:b/>
                                <w:bCs/>
                                <w:color w:val="000000"/>
                                <w:kern w:val="24"/>
                                <w:szCs w:val="28"/>
                                <w:highlight w:val="yellow"/>
                              </w:rPr>
                              <w:t>Структура платных услуг, %</w:t>
                            </w:r>
                          </w:p>
                        </w:txbxContent>
                      </wps:txbx>
                      <wps:bodyPr wrap="square" lIns="68535" tIns="34289" rIns="68535" bIns="34289"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6" o:spid="_x0000_s1026" type="#_x0000_t202" style="position:absolute;left:0;text-align:left;margin-left:58.3pt;margin-top:1.75pt;width:354.95pt;height:22.7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3q9rQEAAEIDAAAOAAAAZHJzL2Uyb0RvYy54bWysUsFu2zAMvQ/oPwi6L3adJnCNOMXWosOA&#10;YRvQ9gMUWY4FSKImKrHz96OUNO3aW7GLLPHRj4+PXN1M1rC9CqjBtfxyVnKmnIROu23Lnx7vP9ec&#10;YRSuEwacavlBIb9ZX3xajb5RFQxgOhUYkThsRt/yIUbfFAXKQVmBM/DKEdhDsCLSM2yLLoiR2K0p&#10;qrJcFiOEzgeQCpGid0eQrzN/3ysZf/U9qshMy0lbzGfI5yadxXolmm0QftDyJEN8QIUV2lHRM9Wd&#10;iILtgn5HZbUMgNDHmQRbQN9rqXIP1M1l+aabh0F4lXshc9CfbcL/Ryt/7n8HpruWV2SPE5Zm9Kim&#10;+BUmtkzujB4bSnrwlBYnCtOUn+NIwdT01AebvtQOI5yIDmdviYtJCl4tyrqcEyQJq+q6us7mFy9/&#10;+4DxmwLL0qXlgWaXLRX7HxhJCaU+p6RiDu61MSmeJB6lpFucNtNJ9wa6A8keabwtxz87ERRn5rsj&#10;/5b1Yr6gfciP+VVVX3MWXiObf5BobiFvUKqM/ssuUvUsKpU81jkpoUFlraelSpvw+p2zXlZ//RcA&#10;AP//AwBQSwMEFAAGAAgAAAAhAE1e6l7dAAAACAEAAA8AAABkcnMvZG93bnJldi54bWxMj8FOwzAQ&#10;RO9I/IO1SNyoU9NGaYhTIaRWwI2CUI9usjgR8Tqy3Tb8PcuJ3nY0o9k31XpygzhhiL0nDfNZBgKp&#10;8W1PVsPH++auABGTodYMnlDDD0ZY19dXlSlbf6Y3PO2SFVxCsTQaupTGUsrYdOhMnPkRib0vH5xJ&#10;LIOVbTBnLneDVFmWS2d64g+dGfGpw+Z7d3Qanj+V6jdNWKqFscX29cVuaW+1vr2ZHh9AJJzSfxj+&#10;8BkdamY6+CO1UQys53nOUQ33SxDsFyrn46BhUaxA1pW8HFD/AgAA//8DAFBLAQItABQABgAIAAAA&#10;IQC2gziS/gAAAOEBAAATAAAAAAAAAAAAAAAAAAAAAABbQ29udGVudF9UeXBlc10ueG1sUEsBAi0A&#10;FAAGAAgAAAAhADj9If/WAAAAlAEAAAsAAAAAAAAAAAAAAAAALwEAAF9yZWxzLy5yZWxzUEsBAi0A&#10;FAAGAAgAAAAhAJKjer2tAQAAQgMAAA4AAAAAAAAAAAAAAAAALgIAAGRycy9lMm9Eb2MueG1sUEsB&#10;Ai0AFAAGAAgAAAAhAE1e6l7dAAAACAEAAA8AAAAAAAAAAAAAAAAABwQAAGRycy9kb3ducmV2Lnht&#10;bFBLBQYAAAAABAAEAPMAAAARBQAAAAA=&#10;" filled="f" stroked="f">
                <v:textbox style="mso-fit-shape-to-text:t" inset="1.90375mm,.95247mm,1.90375mm,.95247mm">
                  <w:txbxContent>
                    <w:p w:rsidR="00F42593" w:rsidRPr="00691AD6" w:rsidRDefault="00F42593" w:rsidP="00691AD6">
                      <w:pPr>
                        <w:pStyle w:val="a8"/>
                        <w:spacing w:before="0" w:beforeAutospacing="0" w:after="0" w:afterAutospacing="0"/>
                        <w:jc w:val="center"/>
                        <w:rPr>
                          <w:sz w:val="22"/>
                        </w:rPr>
                      </w:pPr>
                      <w:r w:rsidRPr="00120361">
                        <w:rPr>
                          <w:rFonts w:ascii="Arial" w:eastAsia="Roboto" w:hAnsi="Arial" w:cs="Arial"/>
                          <w:b/>
                          <w:bCs/>
                          <w:color w:val="000000"/>
                          <w:kern w:val="24"/>
                          <w:szCs w:val="28"/>
                          <w:highlight w:val="yellow"/>
                        </w:rPr>
                        <w:t>Структура платных услуг, %</w:t>
                      </w:r>
                    </w:p>
                  </w:txbxContent>
                </v:textbox>
              </v:shape>
            </w:pict>
          </mc:Fallback>
        </mc:AlternateContent>
      </w:r>
    </w:p>
    <w:p w:rsidR="00B935D6" w:rsidRPr="00814F5C" w:rsidRDefault="00120361" w:rsidP="00F221DD">
      <w:pPr>
        <w:ind w:left="-709" w:right="-427"/>
        <w:contextualSpacing/>
        <w:jc w:val="center"/>
        <w:rPr>
          <w:rFonts w:ascii="Arial" w:hAnsi="Arial" w:cs="Arial"/>
        </w:rPr>
      </w:pPr>
      <w:r w:rsidRPr="00814F5C">
        <w:rPr>
          <w:rFonts w:ascii="Arial" w:hAnsi="Arial" w:cs="Arial"/>
          <w:noProof/>
        </w:rPr>
        <w:drawing>
          <wp:inline distT="0" distB="0" distL="0" distR="0" wp14:anchorId="5FA72D6F" wp14:editId="2B86E892">
            <wp:extent cx="3551274" cy="105952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51274" cy="1059520"/>
                    </a:xfrm>
                    <a:prstGeom prst="rect">
                      <a:avLst/>
                    </a:prstGeom>
                    <a:noFill/>
                  </pic:spPr>
                </pic:pic>
              </a:graphicData>
            </a:graphic>
          </wp:inline>
        </w:drawing>
      </w:r>
      <w:r w:rsidRPr="00814F5C">
        <w:rPr>
          <w:rFonts w:ascii="Arial" w:hAnsi="Arial" w:cs="Arial"/>
          <w:noProof/>
        </w:rPr>
        <w:drawing>
          <wp:inline distT="0" distB="0" distL="0" distR="0" wp14:anchorId="7194FC6E" wp14:editId="7BA50E87">
            <wp:extent cx="2869325" cy="125500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9249" cy="1254975"/>
                    </a:xfrm>
                    <a:prstGeom prst="rect">
                      <a:avLst/>
                    </a:prstGeom>
                    <a:noFill/>
                  </pic:spPr>
                </pic:pic>
              </a:graphicData>
            </a:graphic>
          </wp:inline>
        </w:drawing>
      </w:r>
    </w:p>
    <w:p w:rsidR="00B935D6" w:rsidRPr="00814F5C" w:rsidRDefault="00981278" w:rsidP="004E58D5">
      <w:pPr>
        <w:ind w:firstLine="709"/>
        <w:contextualSpacing/>
        <w:jc w:val="both"/>
        <w:rPr>
          <w:rFonts w:ascii="Arial" w:hAnsi="Arial" w:cs="Arial"/>
        </w:rPr>
      </w:pPr>
      <w:r w:rsidRPr="00814F5C">
        <w:rPr>
          <w:noProof/>
        </w:rPr>
        <mc:AlternateContent>
          <mc:Choice Requires="wps">
            <w:drawing>
              <wp:anchor distT="0" distB="0" distL="114300" distR="114300" simplePos="0" relativeHeight="251698176" behindDoc="0" locked="0" layoutInCell="1" allowOverlap="1" wp14:anchorId="062B59F1" wp14:editId="482620A2">
                <wp:simplePos x="0" y="0"/>
                <wp:positionH relativeFrom="column">
                  <wp:posOffset>3689350</wp:posOffset>
                </wp:positionH>
                <wp:positionV relativeFrom="paragraph">
                  <wp:posOffset>134197</wp:posOffset>
                </wp:positionV>
                <wp:extent cx="2359025" cy="260985"/>
                <wp:effectExtent l="0" t="0" r="0" b="0"/>
                <wp:wrapNone/>
                <wp:docPr id="27" name="TextBox 4"/>
                <wp:cNvGraphicFramePr/>
                <a:graphic xmlns:a="http://schemas.openxmlformats.org/drawingml/2006/main">
                  <a:graphicData uri="http://schemas.microsoft.com/office/word/2010/wordprocessingShape">
                    <wps:wsp>
                      <wps:cNvSpPr txBox="1"/>
                      <wps:spPr>
                        <a:xfrm>
                          <a:off x="0" y="0"/>
                          <a:ext cx="2359025" cy="260985"/>
                        </a:xfrm>
                        <a:prstGeom prst="rect">
                          <a:avLst/>
                        </a:prstGeom>
                        <a:noFill/>
                      </wps:spPr>
                      <wps:txbx>
                        <w:txbxContent>
                          <w:p w:rsidR="00F42593" w:rsidRPr="00F42593" w:rsidRDefault="00D93257" w:rsidP="00BD051F">
                            <w:pPr>
                              <w:pStyle w:val="a8"/>
                              <w:spacing w:before="0" w:beforeAutospacing="0" w:after="0" w:afterAutospacing="0"/>
                              <w:jc w:val="center"/>
                              <w:rPr>
                                <w:rFonts w:ascii="Arial" w:hAnsi="Arial" w:cs="Arial"/>
                              </w:rPr>
                            </w:pPr>
                            <w:proofErr w:type="gramStart"/>
                            <w:r>
                              <w:rPr>
                                <w:rFonts w:ascii="Arial" w:hAnsi="Arial" w:cs="Arial"/>
                                <w:b/>
                                <w:bCs/>
                                <w:color w:val="000000" w:themeColor="text1"/>
                                <w:kern w:val="24"/>
                                <w:sz w:val="22"/>
                                <w:szCs w:val="22"/>
                                <w:lang w:val="en-US"/>
                              </w:rPr>
                              <w:t>I</w:t>
                            </w:r>
                            <w:r w:rsidR="00C7789D">
                              <w:rPr>
                                <w:rFonts w:ascii="Arial" w:hAnsi="Arial" w:cs="Arial"/>
                                <w:b/>
                                <w:bCs/>
                                <w:color w:val="000000" w:themeColor="text1"/>
                                <w:kern w:val="24"/>
                                <w:sz w:val="22"/>
                                <w:szCs w:val="22"/>
                              </w:rPr>
                              <w:t xml:space="preserve"> </w:t>
                            </w:r>
                            <w:proofErr w:type="spellStart"/>
                            <w:r w:rsidR="00120361">
                              <w:rPr>
                                <w:rFonts w:ascii="Arial" w:hAnsi="Arial" w:cs="Arial"/>
                                <w:b/>
                                <w:bCs/>
                                <w:color w:val="000000" w:themeColor="text1"/>
                                <w:kern w:val="24"/>
                                <w:sz w:val="22"/>
                                <w:szCs w:val="22"/>
                              </w:rPr>
                              <w:t>полуг</w:t>
                            </w:r>
                            <w:proofErr w:type="spellEnd"/>
                            <w:r w:rsidR="00616240">
                              <w:rPr>
                                <w:rFonts w:ascii="Arial" w:hAnsi="Arial" w:cs="Arial"/>
                                <w:b/>
                                <w:bCs/>
                                <w:color w:val="000000" w:themeColor="text1"/>
                                <w:kern w:val="24"/>
                                <w:sz w:val="22"/>
                                <w:szCs w:val="22"/>
                              </w:rPr>
                              <w:t>.</w:t>
                            </w:r>
                            <w:proofErr w:type="gramEnd"/>
                            <w:r w:rsidR="00C7789D">
                              <w:rPr>
                                <w:rFonts w:ascii="Arial" w:hAnsi="Arial" w:cs="Arial"/>
                                <w:b/>
                                <w:bCs/>
                                <w:color w:val="000000" w:themeColor="text1"/>
                                <w:kern w:val="24"/>
                                <w:sz w:val="22"/>
                                <w:szCs w:val="22"/>
                              </w:rPr>
                              <w:t xml:space="preserve"> </w:t>
                            </w:r>
                            <w:r w:rsidR="00F42593" w:rsidRPr="00F42593">
                              <w:rPr>
                                <w:rFonts w:ascii="Arial" w:hAnsi="Arial" w:cs="Arial"/>
                                <w:b/>
                                <w:bCs/>
                                <w:color w:val="000000" w:themeColor="text1"/>
                                <w:kern w:val="24"/>
                                <w:sz w:val="22"/>
                                <w:szCs w:val="22"/>
                              </w:rPr>
                              <w:t>202</w:t>
                            </w:r>
                            <w:r w:rsidR="00C7789D">
                              <w:rPr>
                                <w:rFonts w:ascii="Arial" w:hAnsi="Arial" w:cs="Arial"/>
                                <w:b/>
                                <w:bCs/>
                                <w:color w:val="000000" w:themeColor="text1"/>
                                <w:kern w:val="24"/>
                                <w:sz w:val="22"/>
                                <w:szCs w:val="22"/>
                              </w:rPr>
                              <w:t>3</w:t>
                            </w:r>
                            <w:r w:rsidR="00F42593" w:rsidRPr="00F42593">
                              <w:rPr>
                                <w:rFonts w:ascii="Arial" w:hAnsi="Arial" w:cs="Arial"/>
                                <w:b/>
                                <w:bCs/>
                                <w:color w:val="000000" w:themeColor="text1"/>
                                <w:kern w:val="24"/>
                                <w:sz w:val="22"/>
                                <w:szCs w:val="22"/>
                              </w:rPr>
                              <w:t xml:space="preserve"> г.</w:t>
                            </w:r>
                          </w:p>
                        </w:txbxContent>
                      </wps:txbx>
                      <wps:bodyPr wrap="square" rtlCol="0">
                        <a:spAutoFit/>
                      </wps:bodyPr>
                    </wps:wsp>
                  </a:graphicData>
                </a:graphic>
              </wp:anchor>
            </w:drawing>
          </mc:Choice>
          <mc:Fallback>
            <w:pict>
              <v:shape id="TextBox 4" o:spid="_x0000_s1027" type="#_x0000_t202" style="position:absolute;left:0;text-align:left;margin-left:290.5pt;margin-top:10.55pt;width:185.75pt;height:20.5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TxmAEAABUDAAAOAAAAZHJzL2Uyb0RvYy54bWysUsFu2zAMvQ/oPwi6N3a9pmuNOMW2or0M&#10;24B2H6DIUizAEjVSiZ2/H6Wk6bDdhl0oiaSe3nvU6n72o9gbJAehk1eLWgoTNPQubDv54+Xx8lYK&#10;Sir0aoRgOnkwJO/XF+9WU2xNAwOMvUHBIIHaKXZySCm2VUV6MF7RAqIJXLSAXiU+4rbqUU2M7seq&#10;qeubagLsI4I2RJx9OBbluuBba3T6Zi2ZJMZOMrdUIpa4ybFar1S7RRUHp0801D+w8MoFfvQM9aCS&#10;Ejt0f0F5pxEIbFpo8BVY67QpGljNVf2HmudBRVO0sDkUzzbR/4PVX/ffUbi+k80HKYLyPKMXM6dP&#10;MIvr7M4UqeWm58htaeY0T/k1T5zMomeLPq8sR3CdfT6cvWUsoTnZvF/e1c1SCs215qa+u11mmOrt&#10;dkRKTwa8yJtOIs+uWKr2XygdW19b8mMBHt045nymeKSSd2nezEXQmeYG+gOzn3jKnaSfO4VGCkzj&#10;ZyifIoNR/LhLDFjeySjHOydw9r4wPf2TPNzfz6Xr7TevfwEAAP//AwBQSwMEFAAGAAgAAAAhAA+1&#10;2nPdAAAACQEAAA8AAABkcnMvZG93bnJldi54bWxMj81OwzAQhO9IvIO1SNyoE0upSohTVfxIHLhQ&#10;wn0bu3HUeB3F2yZ9e8wJjqMZzXxTbRc/iIudYh9IQ77KQFhqg+mp09B8vT1sQERGMjgEshquNsK2&#10;vr2psDRhpk972XMnUgnFEjU45rGUMrbOeoyrMFpK3jFMHjnJqZNmwjmV+0GqLFtLjz2lBYejfXa2&#10;Pe3PXgOz2eXX5tXH9+/l42V2WVtgo/X93bJ7AsF24b8w/OIndKgT0yGcyUQxaCg2efrCGlSeg0iB&#10;x0IVIA4a1kqBrCv5/0H9AwAA//8DAFBLAQItABQABgAIAAAAIQC2gziS/gAAAOEBAAATAAAAAAAA&#10;AAAAAAAAAAAAAABbQ29udGVudF9UeXBlc10ueG1sUEsBAi0AFAAGAAgAAAAhADj9If/WAAAAlAEA&#10;AAsAAAAAAAAAAAAAAAAALwEAAF9yZWxzLy5yZWxzUEsBAi0AFAAGAAgAAAAhABKy1PGYAQAAFQMA&#10;AA4AAAAAAAAAAAAAAAAALgIAAGRycy9lMm9Eb2MueG1sUEsBAi0AFAAGAAgAAAAhAA+12nPdAAAA&#10;CQEAAA8AAAAAAAAAAAAAAAAA8gMAAGRycy9kb3ducmV2LnhtbFBLBQYAAAAABAAEAPMAAAD8BAAA&#10;AAA=&#10;" filled="f" stroked="f">
                <v:textbox style="mso-fit-shape-to-text:t">
                  <w:txbxContent>
                    <w:p w:rsidR="00F42593" w:rsidRPr="00F42593" w:rsidRDefault="00D93257" w:rsidP="00BD051F">
                      <w:pPr>
                        <w:pStyle w:val="a8"/>
                        <w:spacing w:before="0" w:beforeAutospacing="0" w:after="0" w:afterAutospacing="0"/>
                        <w:jc w:val="center"/>
                        <w:rPr>
                          <w:rFonts w:ascii="Arial" w:hAnsi="Arial" w:cs="Arial"/>
                        </w:rPr>
                      </w:pPr>
                      <w:proofErr w:type="gramStart"/>
                      <w:r>
                        <w:rPr>
                          <w:rFonts w:ascii="Arial" w:hAnsi="Arial" w:cs="Arial"/>
                          <w:b/>
                          <w:bCs/>
                          <w:color w:val="000000" w:themeColor="text1"/>
                          <w:kern w:val="24"/>
                          <w:sz w:val="22"/>
                          <w:szCs w:val="22"/>
                          <w:lang w:val="en-US"/>
                        </w:rPr>
                        <w:t>I</w:t>
                      </w:r>
                      <w:r w:rsidR="00C7789D">
                        <w:rPr>
                          <w:rFonts w:ascii="Arial" w:hAnsi="Arial" w:cs="Arial"/>
                          <w:b/>
                          <w:bCs/>
                          <w:color w:val="000000" w:themeColor="text1"/>
                          <w:kern w:val="24"/>
                          <w:sz w:val="22"/>
                          <w:szCs w:val="22"/>
                        </w:rPr>
                        <w:t xml:space="preserve"> </w:t>
                      </w:r>
                      <w:proofErr w:type="spellStart"/>
                      <w:r w:rsidR="00120361">
                        <w:rPr>
                          <w:rFonts w:ascii="Arial" w:hAnsi="Arial" w:cs="Arial"/>
                          <w:b/>
                          <w:bCs/>
                          <w:color w:val="000000" w:themeColor="text1"/>
                          <w:kern w:val="24"/>
                          <w:sz w:val="22"/>
                          <w:szCs w:val="22"/>
                        </w:rPr>
                        <w:t>полуг</w:t>
                      </w:r>
                      <w:proofErr w:type="spellEnd"/>
                      <w:r w:rsidR="00616240">
                        <w:rPr>
                          <w:rFonts w:ascii="Arial" w:hAnsi="Arial" w:cs="Arial"/>
                          <w:b/>
                          <w:bCs/>
                          <w:color w:val="000000" w:themeColor="text1"/>
                          <w:kern w:val="24"/>
                          <w:sz w:val="22"/>
                          <w:szCs w:val="22"/>
                        </w:rPr>
                        <w:t>.</w:t>
                      </w:r>
                      <w:proofErr w:type="gramEnd"/>
                      <w:r w:rsidR="00C7789D">
                        <w:rPr>
                          <w:rFonts w:ascii="Arial" w:hAnsi="Arial" w:cs="Arial"/>
                          <w:b/>
                          <w:bCs/>
                          <w:color w:val="000000" w:themeColor="text1"/>
                          <w:kern w:val="24"/>
                          <w:sz w:val="22"/>
                          <w:szCs w:val="22"/>
                        </w:rPr>
                        <w:t xml:space="preserve"> </w:t>
                      </w:r>
                      <w:r w:rsidR="00F42593" w:rsidRPr="00F42593">
                        <w:rPr>
                          <w:rFonts w:ascii="Arial" w:hAnsi="Arial" w:cs="Arial"/>
                          <w:b/>
                          <w:bCs/>
                          <w:color w:val="000000" w:themeColor="text1"/>
                          <w:kern w:val="24"/>
                          <w:sz w:val="22"/>
                          <w:szCs w:val="22"/>
                        </w:rPr>
                        <w:t>202</w:t>
                      </w:r>
                      <w:r w:rsidR="00C7789D">
                        <w:rPr>
                          <w:rFonts w:ascii="Arial" w:hAnsi="Arial" w:cs="Arial"/>
                          <w:b/>
                          <w:bCs/>
                          <w:color w:val="000000" w:themeColor="text1"/>
                          <w:kern w:val="24"/>
                          <w:sz w:val="22"/>
                          <w:szCs w:val="22"/>
                        </w:rPr>
                        <w:t>3</w:t>
                      </w:r>
                      <w:r w:rsidR="00F42593" w:rsidRPr="00F42593">
                        <w:rPr>
                          <w:rFonts w:ascii="Arial" w:hAnsi="Arial" w:cs="Arial"/>
                          <w:b/>
                          <w:bCs/>
                          <w:color w:val="000000" w:themeColor="text1"/>
                          <w:kern w:val="24"/>
                          <w:sz w:val="22"/>
                          <w:szCs w:val="22"/>
                        </w:rPr>
                        <w:t xml:space="preserve"> г.</w:t>
                      </w:r>
                    </w:p>
                  </w:txbxContent>
                </v:textbox>
              </v:shape>
            </w:pict>
          </mc:Fallback>
        </mc:AlternateContent>
      </w:r>
      <w:r w:rsidR="00BD051F" w:rsidRPr="00814F5C">
        <w:rPr>
          <w:noProof/>
        </w:rPr>
        <mc:AlternateContent>
          <mc:Choice Requires="wps">
            <w:drawing>
              <wp:anchor distT="0" distB="0" distL="114300" distR="114300" simplePos="0" relativeHeight="251696128" behindDoc="0" locked="0" layoutInCell="1" allowOverlap="1" wp14:anchorId="79BEB586" wp14:editId="2446CB3F">
                <wp:simplePos x="0" y="0"/>
                <wp:positionH relativeFrom="column">
                  <wp:posOffset>-38735</wp:posOffset>
                </wp:positionH>
                <wp:positionV relativeFrom="paragraph">
                  <wp:posOffset>128905</wp:posOffset>
                </wp:positionV>
                <wp:extent cx="2359025" cy="260985"/>
                <wp:effectExtent l="0" t="0" r="0" b="0"/>
                <wp:wrapNone/>
                <wp:docPr id="26" name="TextBox 4"/>
                <wp:cNvGraphicFramePr/>
                <a:graphic xmlns:a="http://schemas.openxmlformats.org/drawingml/2006/main">
                  <a:graphicData uri="http://schemas.microsoft.com/office/word/2010/wordprocessingShape">
                    <wps:wsp>
                      <wps:cNvSpPr txBox="1"/>
                      <wps:spPr>
                        <a:xfrm>
                          <a:off x="0" y="0"/>
                          <a:ext cx="2359025" cy="260985"/>
                        </a:xfrm>
                        <a:prstGeom prst="rect">
                          <a:avLst/>
                        </a:prstGeom>
                        <a:noFill/>
                      </wps:spPr>
                      <wps:txbx>
                        <w:txbxContent>
                          <w:p w:rsidR="00F42593" w:rsidRPr="00F42593" w:rsidRDefault="00D93257" w:rsidP="00BD051F">
                            <w:pPr>
                              <w:pStyle w:val="a8"/>
                              <w:spacing w:before="0" w:beforeAutospacing="0" w:after="0" w:afterAutospacing="0"/>
                              <w:jc w:val="center"/>
                              <w:rPr>
                                <w:rFonts w:ascii="Arial" w:hAnsi="Arial" w:cs="Arial"/>
                              </w:rPr>
                            </w:pPr>
                            <w:proofErr w:type="gramStart"/>
                            <w:r>
                              <w:rPr>
                                <w:rFonts w:ascii="Arial" w:hAnsi="Arial" w:cs="Arial"/>
                                <w:b/>
                                <w:bCs/>
                                <w:color w:val="000000" w:themeColor="text1"/>
                                <w:kern w:val="24"/>
                                <w:sz w:val="22"/>
                                <w:szCs w:val="22"/>
                                <w:lang w:val="en-US"/>
                              </w:rPr>
                              <w:t>I</w:t>
                            </w:r>
                            <w:r w:rsidR="00165D61">
                              <w:rPr>
                                <w:rFonts w:ascii="Arial" w:hAnsi="Arial" w:cs="Arial"/>
                                <w:b/>
                                <w:bCs/>
                                <w:color w:val="000000" w:themeColor="text1"/>
                                <w:kern w:val="24"/>
                                <w:sz w:val="22"/>
                                <w:szCs w:val="22"/>
                              </w:rPr>
                              <w:t xml:space="preserve"> </w:t>
                            </w:r>
                            <w:proofErr w:type="spellStart"/>
                            <w:r w:rsidR="00120361">
                              <w:rPr>
                                <w:rFonts w:ascii="Arial" w:hAnsi="Arial" w:cs="Arial"/>
                                <w:b/>
                                <w:bCs/>
                                <w:color w:val="000000" w:themeColor="text1"/>
                                <w:kern w:val="24"/>
                                <w:sz w:val="22"/>
                                <w:szCs w:val="22"/>
                              </w:rPr>
                              <w:t>полуг</w:t>
                            </w:r>
                            <w:proofErr w:type="spellEnd"/>
                            <w:r w:rsidR="00616240">
                              <w:rPr>
                                <w:rFonts w:ascii="Arial" w:hAnsi="Arial" w:cs="Arial"/>
                                <w:b/>
                                <w:bCs/>
                                <w:color w:val="000000" w:themeColor="text1"/>
                                <w:kern w:val="24"/>
                                <w:sz w:val="22"/>
                                <w:szCs w:val="22"/>
                              </w:rPr>
                              <w:t>.</w:t>
                            </w:r>
                            <w:proofErr w:type="gramEnd"/>
                            <w:r w:rsidR="00165D61">
                              <w:rPr>
                                <w:rFonts w:ascii="Arial" w:hAnsi="Arial" w:cs="Arial"/>
                                <w:b/>
                                <w:bCs/>
                                <w:color w:val="000000" w:themeColor="text1"/>
                                <w:kern w:val="24"/>
                                <w:sz w:val="22"/>
                                <w:szCs w:val="22"/>
                              </w:rPr>
                              <w:t xml:space="preserve"> </w:t>
                            </w:r>
                            <w:r w:rsidR="00F42593" w:rsidRPr="00F42593">
                              <w:rPr>
                                <w:rFonts w:ascii="Arial" w:hAnsi="Arial" w:cs="Arial"/>
                                <w:b/>
                                <w:bCs/>
                                <w:color w:val="000000" w:themeColor="text1"/>
                                <w:kern w:val="24"/>
                                <w:sz w:val="22"/>
                                <w:szCs w:val="22"/>
                              </w:rPr>
                              <w:t>202</w:t>
                            </w:r>
                            <w:r w:rsidR="00165D61">
                              <w:rPr>
                                <w:rFonts w:ascii="Arial" w:hAnsi="Arial" w:cs="Arial"/>
                                <w:b/>
                                <w:bCs/>
                                <w:color w:val="000000" w:themeColor="text1"/>
                                <w:kern w:val="24"/>
                                <w:sz w:val="22"/>
                                <w:szCs w:val="22"/>
                              </w:rPr>
                              <w:t>2</w:t>
                            </w:r>
                            <w:r w:rsidR="00F42593" w:rsidRPr="00F42593">
                              <w:rPr>
                                <w:rFonts w:ascii="Arial" w:hAnsi="Arial" w:cs="Arial"/>
                                <w:b/>
                                <w:bCs/>
                                <w:color w:val="000000" w:themeColor="text1"/>
                                <w:kern w:val="24"/>
                                <w:sz w:val="22"/>
                                <w:szCs w:val="22"/>
                              </w:rPr>
                              <w:t xml:space="preserve"> г.</w:t>
                            </w:r>
                          </w:p>
                        </w:txbxContent>
                      </wps:txbx>
                      <wps:bodyPr wrap="square" rtlCol="0">
                        <a:spAutoFit/>
                      </wps:bodyPr>
                    </wps:wsp>
                  </a:graphicData>
                </a:graphic>
              </wp:anchor>
            </w:drawing>
          </mc:Choice>
          <mc:Fallback>
            <w:pict>
              <v:shape id="_x0000_s1028" type="#_x0000_t202" style="position:absolute;left:0;text-align:left;margin-left:-3.05pt;margin-top:10.15pt;width:185.75pt;height:20.5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nYlwEAABUDAAAOAAAAZHJzL2Uyb0RvYy54bWysUsFO4zAQva/EP1i+04RAK4iaol0Qe0Gw&#10;EvABrmM3lmKP8bhN+veMnbag5bbay9ieGT+/98bL29H2bKcCGnANv5iVnCknoTVu0/C314fza84w&#10;CteKHpxq+F4hv12d/VgOvlYVdNC3KjACcVgPvuFdjL4uCpSdsgJn4JWjooZgRaRj2BRtEAOh276o&#10;ynJRDBBaH0AqRMreT0W+yvhaKxmftUYVWd9w4hZzDDmuUyxWS1FvgvCdkQca4h9YWGEcPXqCuhdR&#10;sG0w36CskQEQdJxJsAVobaTKGkjNRfmXmpdOeJW1kDnoTzbh/4OVT7s/gZm24dWCMycszehVjfEX&#10;jOwquTN4rKnpxVNbHClNUz7mkZJJ9KiDTSvJYVQnn/cnbwmLSUpWl/ObsppzJqlWLcqb63mCKT5v&#10;+4DxtwLL0qbhgWaXLRW7R4xT67ElPebgwfR9yieKE5W0i+N6nAQdaa6h3RP7gabccHzfiqA4C7G/&#10;g/wpEhj6n9tIgPmdhDLdOYCT95np4Z+k4X49567P37z6AAAA//8DAFBLAwQUAAYACAAAACEAiYks&#10;wt0AAAAIAQAADwAAAGRycy9kb3ducmV2LnhtbEyPS0/DMBCE70j8B2uRuLV2+ohQyKaqeEgcuNCG&#10;+zZe4ojYjmK3Sf895gTH0Yxmvil3s+3FhcfQeYeQLRUIdo3XnWsR6uPr4gFEiOQ09d4xwpUD7Krb&#10;m5IK7Sf3wZdDbEUqcaEgBBPjUEgZGsOWwtIP7JL35UdLMcmxlXqkKZXbXq6UyqWlzqUFQwM/GW6+&#10;D2eLEKPeZ9f6xYa3z/n9eTKq2VKNeH837x9BRJ7jXxh+8RM6VInp5M9OB9EjLPIsJRFWag0i+et8&#10;uwFxQsizDciqlP8PVD8AAAD//wMAUEsBAi0AFAAGAAgAAAAhALaDOJL+AAAA4QEAABMAAAAAAAAA&#10;AAAAAAAAAAAAAFtDb250ZW50X1R5cGVzXS54bWxQSwECLQAUAAYACAAAACEAOP0h/9YAAACUAQAA&#10;CwAAAAAAAAAAAAAAAAAvAQAAX3JlbHMvLnJlbHNQSwECLQAUAAYACAAAACEAmXp52JcBAAAVAwAA&#10;DgAAAAAAAAAAAAAAAAAuAgAAZHJzL2Uyb0RvYy54bWxQSwECLQAUAAYACAAAACEAiYkswt0AAAAI&#10;AQAADwAAAAAAAAAAAAAAAADxAwAAZHJzL2Rvd25yZXYueG1sUEsFBgAAAAAEAAQA8wAAAPsEAAAA&#10;AA==&#10;" filled="f" stroked="f">
                <v:textbox style="mso-fit-shape-to-text:t">
                  <w:txbxContent>
                    <w:p w:rsidR="00F42593" w:rsidRPr="00F42593" w:rsidRDefault="00D93257" w:rsidP="00BD051F">
                      <w:pPr>
                        <w:pStyle w:val="a8"/>
                        <w:spacing w:before="0" w:beforeAutospacing="0" w:after="0" w:afterAutospacing="0"/>
                        <w:jc w:val="center"/>
                        <w:rPr>
                          <w:rFonts w:ascii="Arial" w:hAnsi="Arial" w:cs="Arial"/>
                        </w:rPr>
                      </w:pPr>
                      <w:proofErr w:type="gramStart"/>
                      <w:r>
                        <w:rPr>
                          <w:rFonts w:ascii="Arial" w:hAnsi="Arial" w:cs="Arial"/>
                          <w:b/>
                          <w:bCs/>
                          <w:color w:val="000000" w:themeColor="text1"/>
                          <w:kern w:val="24"/>
                          <w:sz w:val="22"/>
                          <w:szCs w:val="22"/>
                          <w:lang w:val="en-US"/>
                        </w:rPr>
                        <w:t>I</w:t>
                      </w:r>
                      <w:r w:rsidR="00165D61">
                        <w:rPr>
                          <w:rFonts w:ascii="Arial" w:hAnsi="Arial" w:cs="Arial"/>
                          <w:b/>
                          <w:bCs/>
                          <w:color w:val="000000" w:themeColor="text1"/>
                          <w:kern w:val="24"/>
                          <w:sz w:val="22"/>
                          <w:szCs w:val="22"/>
                        </w:rPr>
                        <w:t xml:space="preserve"> </w:t>
                      </w:r>
                      <w:proofErr w:type="spellStart"/>
                      <w:r w:rsidR="00120361">
                        <w:rPr>
                          <w:rFonts w:ascii="Arial" w:hAnsi="Arial" w:cs="Arial"/>
                          <w:b/>
                          <w:bCs/>
                          <w:color w:val="000000" w:themeColor="text1"/>
                          <w:kern w:val="24"/>
                          <w:sz w:val="22"/>
                          <w:szCs w:val="22"/>
                        </w:rPr>
                        <w:t>полуг</w:t>
                      </w:r>
                      <w:proofErr w:type="spellEnd"/>
                      <w:r w:rsidR="00616240">
                        <w:rPr>
                          <w:rFonts w:ascii="Arial" w:hAnsi="Arial" w:cs="Arial"/>
                          <w:b/>
                          <w:bCs/>
                          <w:color w:val="000000" w:themeColor="text1"/>
                          <w:kern w:val="24"/>
                          <w:sz w:val="22"/>
                          <w:szCs w:val="22"/>
                        </w:rPr>
                        <w:t>.</w:t>
                      </w:r>
                      <w:proofErr w:type="gramEnd"/>
                      <w:r w:rsidR="00165D61">
                        <w:rPr>
                          <w:rFonts w:ascii="Arial" w:hAnsi="Arial" w:cs="Arial"/>
                          <w:b/>
                          <w:bCs/>
                          <w:color w:val="000000" w:themeColor="text1"/>
                          <w:kern w:val="24"/>
                          <w:sz w:val="22"/>
                          <w:szCs w:val="22"/>
                        </w:rPr>
                        <w:t xml:space="preserve"> </w:t>
                      </w:r>
                      <w:r w:rsidR="00F42593" w:rsidRPr="00F42593">
                        <w:rPr>
                          <w:rFonts w:ascii="Arial" w:hAnsi="Arial" w:cs="Arial"/>
                          <w:b/>
                          <w:bCs/>
                          <w:color w:val="000000" w:themeColor="text1"/>
                          <w:kern w:val="24"/>
                          <w:sz w:val="22"/>
                          <w:szCs w:val="22"/>
                        </w:rPr>
                        <w:t>202</w:t>
                      </w:r>
                      <w:r w:rsidR="00165D61">
                        <w:rPr>
                          <w:rFonts w:ascii="Arial" w:hAnsi="Arial" w:cs="Arial"/>
                          <w:b/>
                          <w:bCs/>
                          <w:color w:val="000000" w:themeColor="text1"/>
                          <w:kern w:val="24"/>
                          <w:sz w:val="22"/>
                          <w:szCs w:val="22"/>
                        </w:rPr>
                        <w:t>2</w:t>
                      </w:r>
                      <w:r w:rsidR="00F42593" w:rsidRPr="00F42593">
                        <w:rPr>
                          <w:rFonts w:ascii="Arial" w:hAnsi="Arial" w:cs="Arial"/>
                          <w:b/>
                          <w:bCs/>
                          <w:color w:val="000000" w:themeColor="text1"/>
                          <w:kern w:val="24"/>
                          <w:sz w:val="22"/>
                          <w:szCs w:val="22"/>
                        </w:rPr>
                        <w:t xml:space="preserve"> г.</w:t>
                      </w:r>
                    </w:p>
                  </w:txbxContent>
                </v:textbox>
              </v:shape>
            </w:pict>
          </mc:Fallback>
        </mc:AlternateContent>
      </w:r>
    </w:p>
    <w:p w:rsidR="00B935D6" w:rsidRPr="00814F5C" w:rsidRDefault="00B935D6" w:rsidP="004E58D5">
      <w:pPr>
        <w:ind w:firstLine="709"/>
        <w:contextualSpacing/>
        <w:jc w:val="both"/>
        <w:rPr>
          <w:rFonts w:ascii="Arial" w:hAnsi="Arial" w:cs="Arial"/>
        </w:rPr>
      </w:pPr>
    </w:p>
    <w:p w:rsidR="00C7789D" w:rsidRPr="00814F5C" w:rsidRDefault="00C7789D" w:rsidP="00D95D14">
      <w:pPr>
        <w:contextualSpacing/>
        <w:jc w:val="both"/>
        <w:rPr>
          <w:rFonts w:ascii="Arial" w:hAnsi="Arial" w:cs="Arial"/>
        </w:rPr>
      </w:pPr>
    </w:p>
    <w:p w:rsidR="00A578BB" w:rsidRPr="00814F5C" w:rsidRDefault="00A578BB" w:rsidP="00A578BB">
      <w:pPr>
        <w:ind w:firstLine="709"/>
        <w:contextualSpacing/>
        <w:jc w:val="both"/>
        <w:rPr>
          <w:rFonts w:ascii="Arial" w:hAnsi="Arial" w:cs="Arial"/>
        </w:rPr>
      </w:pPr>
      <w:r w:rsidRPr="00814F5C">
        <w:rPr>
          <w:rFonts w:ascii="Arial" w:hAnsi="Arial" w:cs="Arial"/>
        </w:rPr>
        <w:t xml:space="preserve">В структуре объема платных услуг </w:t>
      </w:r>
      <w:r w:rsidR="006732E3" w:rsidRPr="00814F5C">
        <w:rPr>
          <w:rFonts w:ascii="Arial" w:hAnsi="Arial" w:cs="Arial"/>
        </w:rPr>
        <w:t>в</w:t>
      </w:r>
      <w:r w:rsidRPr="00814F5C">
        <w:rPr>
          <w:rFonts w:ascii="Arial" w:hAnsi="Arial" w:cs="Arial"/>
        </w:rPr>
        <w:t xml:space="preserve"> </w:t>
      </w:r>
      <w:r w:rsidR="00D93257" w:rsidRPr="00814F5C">
        <w:rPr>
          <w:rFonts w:ascii="Arial" w:hAnsi="Arial" w:cs="Arial"/>
          <w:lang w:val="en-US"/>
        </w:rPr>
        <w:t>I</w:t>
      </w:r>
      <w:r w:rsidR="00165D61" w:rsidRPr="00814F5C">
        <w:rPr>
          <w:rFonts w:ascii="Arial" w:hAnsi="Arial" w:cs="Arial"/>
        </w:rPr>
        <w:t xml:space="preserve"> квартале </w:t>
      </w:r>
      <w:r w:rsidRPr="00814F5C">
        <w:rPr>
          <w:rFonts w:ascii="Arial" w:hAnsi="Arial" w:cs="Arial"/>
        </w:rPr>
        <w:t>202</w:t>
      </w:r>
      <w:r w:rsidR="00165D61" w:rsidRPr="00814F5C">
        <w:rPr>
          <w:rFonts w:ascii="Arial" w:hAnsi="Arial" w:cs="Arial"/>
        </w:rPr>
        <w:t>3</w:t>
      </w:r>
      <w:r w:rsidRPr="00814F5C">
        <w:rPr>
          <w:rFonts w:ascii="Arial" w:hAnsi="Arial" w:cs="Arial"/>
        </w:rPr>
        <w:t xml:space="preserve"> г. 8</w:t>
      </w:r>
      <w:r w:rsidR="00165D61" w:rsidRPr="00814F5C">
        <w:rPr>
          <w:rFonts w:ascii="Arial" w:hAnsi="Arial" w:cs="Arial"/>
        </w:rPr>
        <w:t>3,2</w:t>
      </w:r>
      <w:r w:rsidRPr="00814F5C">
        <w:rPr>
          <w:rFonts w:ascii="Arial" w:hAnsi="Arial" w:cs="Arial"/>
        </w:rPr>
        <w:t>% в совокупности приходится на бытовые (1</w:t>
      </w:r>
      <w:r w:rsidR="00CD184D" w:rsidRPr="00814F5C">
        <w:rPr>
          <w:rFonts w:ascii="Arial" w:hAnsi="Arial" w:cs="Arial"/>
        </w:rPr>
        <w:t>3,1</w:t>
      </w:r>
      <w:r w:rsidRPr="00814F5C">
        <w:rPr>
          <w:rFonts w:ascii="Arial" w:hAnsi="Arial" w:cs="Arial"/>
        </w:rPr>
        <w:t xml:space="preserve">%), </w:t>
      </w:r>
      <w:r w:rsidR="00165D61" w:rsidRPr="00814F5C">
        <w:rPr>
          <w:rFonts w:ascii="Arial" w:hAnsi="Arial" w:cs="Arial"/>
        </w:rPr>
        <w:t>транспортные (1</w:t>
      </w:r>
      <w:r w:rsidR="00CD184D" w:rsidRPr="00814F5C">
        <w:rPr>
          <w:rFonts w:ascii="Arial" w:hAnsi="Arial" w:cs="Arial"/>
        </w:rPr>
        <w:t>2,4</w:t>
      </w:r>
      <w:r w:rsidR="00165D61" w:rsidRPr="00814F5C">
        <w:rPr>
          <w:rFonts w:ascii="Arial" w:hAnsi="Arial" w:cs="Arial"/>
        </w:rPr>
        <w:t xml:space="preserve">%), </w:t>
      </w:r>
      <w:r w:rsidRPr="00814F5C">
        <w:rPr>
          <w:rFonts w:ascii="Arial" w:hAnsi="Arial" w:cs="Arial"/>
        </w:rPr>
        <w:t>телекоммуникационные (1</w:t>
      </w:r>
      <w:r w:rsidR="00CD184D" w:rsidRPr="00814F5C">
        <w:rPr>
          <w:rFonts w:ascii="Arial" w:hAnsi="Arial" w:cs="Arial"/>
        </w:rPr>
        <w:t>2,3</w:t>
      </w:r>
      <w:r w:rsidRPr="00814F5C">
        <w:rPr>
          <w:rFonts w:ascii="Arial" w:hAnsi="Arial" w:cs="Arial"/>
        </w:rPr>
        <w:t>%), жилищные (</w:t>
      </w:r>
      <w:r w:rsidR="00165D61" w:rsidRPr="00814F5C">
        <w:rPr>
          <w:rFonts w:ascii="Arial" w:hAnsi="Arial" w:cs="Arial"/>
        </w:rPr>
        <w:t>7,</w:t>
      </w:r>
      <w:r w:rsidR="00CD184D" w:rsidRPr="00814F5C">
        <w:rPr>
          <w:rFonts w:ascii="Arial" w:hAnsi="Arial" w:cs="Arial"/>
        </w:rPr>
        <w:t>8</w:t>
      </w:r>
      <w:r w:rsidRPr="00814F5C">
        <w:rPr>
          <w:rFonts w:ascii="Arial" w:hAnsi="Arial" w:cs="Arial"/>
        </w:rPr>
        <w:t>%)</w:t>
      </w:r>
      <w:r w:rsidR="00165D61" w:rsidRPr="00814F5C">
        <w:rPr>
          <w:rFonts w:ascii="Arial" w:hAnsi="Arial" w:cs="Arial"/>
        </w:rPr>
        <w:t>,</w:t>
      </w:r>
      <w:r w:rsidRPr="00814F5C">
        <w:rPr>
          <w:rFonts w:ascii="Arial" w:hAnsi="Arial" w:cs="Arial"/>
        </w:rPr>
        <w:t xml:space="preserve"> </w:t>
      </w:r>
      <w:r w:rsidR="00165D61" w:rsidRPr="00814F5C">
        <w:rPr>
          <w:rFonts w:ascii="Arial" w:hAnsi="Arial" w:cs="Arial"/>
        </w:rPr>
        <w:t>коммунальные (</w:t>
      </w:r>
      <w:r w:rsidR="00CD184D" w:rsidRPr="00814F5C">
        <w:rPr>
          <w:rFonts w:ascii="Arial" w:hAnsi="Arial" w:cs="Arial"/>
        </w:rPr>
        <w:t>28,0</w:t>
      </w:r>
      <w:r w:rsidR="00165D61" w:rsidRPr="00814F5C">
        <w:rPr>
          <w:rFonts w:ascii="Arial" w:hAnsi="Arial" w:cs="Arial"/>
        </w:rPr>
        <w:t>%), медицинские (8,</w:t>
      </w:r>
      <w:r w:rsidR="00CD184D" w:rsidRPr="00814F5C">
        <w:rPr>
          <w:rFonts w:ascii="Arial" w:hAnsi="Arial" w:cs="Arial"/>
        </w:rPr>
        <w:t>6</w:t>
      </w:r>
      <w:r w:rsidR="00165D61" w:rsidRPr="00814F5C">
        <w:rPr>
          <w:rFonts w:ascii="Arial" w:hAnsi="Arial" w:cs="Arial"/>
        </w:rPr>
        <w:t xml:space="preserve">%) </w:t>
      </w:r>
      <w:r w:rsidRPr="00814F5C">
        <w:rPr>
          <w:rFonts w:ascii="Arial" w:hAnsi="Arial" w:cs="Arial"/>
        </w:rPr>
        <w:t xml:space="preserve">услуги. </w:t>
      </w:r>
    </w:p>
    <w:p w:rsidR="005B1202" w:rsidRPr="00814F5C" w:rsidRDefault="005B1202" w:rsidP="005B1202">
      <w:pPr>
        <w:ind w:firstLine="709"/>
        <w:contextualSpacing/>
        <w:jc w:val="both"/>
        <w:rPr>
          <w:rFonts w:ascii="Arial" w:hAnsi="Arial" w:cs="Arial"/>
        </w:rPr>
      </w:pPr>
      <w:proofErr w:type="gramStart"/>
      <w:r w:rsidRPr="00814F5C">
        <w:rPr>
          <w:rFonts w:ascii="Arial" w:hAnsi="Arial" w:cs="Arial"/>
        </w:rPr>
        <w:t xml:space="preserve">Общий объем реализованных населению бытовых услуг составил </w:t>
      </w:r>
      <w:r w:rsidRPr="00814F5C">
        <w:rPr>
          <w:rFonts w:ascii="Arial" w:hAnsi="Arial" w:cs="Arial"/>
        </w:rPr>
        <w:br/>
      </w:r>
      <w:r w:rsidR="00233AF5" w:rsidRPr="00814F5C">
        <w:rPr>
          <w:rFonts w:ascii="Arial" w:hAnsi="Arial" w:cs="Arial"/>
        </w:rPr>
        <w:t>4,7</w:t>
      </w:r>
      <w:r w:rsidRPr="00814F5C">
        <w:rPr>
          <w:rFonts w:ascii="Arial" w:hAnsi="Arial" w:cs="Arial"/>
        </w:rPr>
        <w:t xml:space="preserve"> млрд. рублей, или </w:t>
      </w:r>
      <w:r w:rsidR="00175E6D" w:rsidRPr="00814F5C">
        <w:rPr>
          <w:rFonts w:ascii="Arial" w:hAnsi="Arial" w:cs="Arial"/>
        </w:rPr>
        <w:t>10</w:t>
      </w:r>
      <w:r w:rsidR="00233AF5" w:rsidRPr="00814F5C">
        <w:rPr>
          <w:rFonts w:ascii="Arial" w:hAnsi="Arial" w:cs="Arial"/>
        </w:rPr>
        <w:t>5,9</w:t>
      </w:r>
      <w:r w:rsidRPr="00814F5C">
        <w:rPr>
          <w:rFonts w:ascii="Arial" w:hAnsi="Arial" w:cs="Arial"/>
        </w:rPr>
        <w:t xml:space="preserve">% к </w:t>
      </w:r>
      <w:r w:rsidR="00D93257" w:rsidRPr="00814F5C">
        <w:rPr>
          <w:rFonts w:ascii="Arial" w:hAnsi="Arial" w:cs="Arial"/>
          <w:lang w:val="en-US"/>
        </w:rPr>
        <w:t>I</w:t>
      </w:r>
      <w:r w:rsidR="00175E6D" w:rsidRPr="00814F5C">
        <w:rPr>
          <w:rFonts w:ascii="Arial" w:hAnsi="Arial" w:cs="Arial"/>
        </w:rPr>
        <w:t xml:space="preserve"> </w:t>
      </w:r>
      <w:r w:rsidR="00233AF5" w:rsidRPr="00814F5C">
        <w:rPr>
          <w:rFonts w:ascii="Arial" w:hAnsi="Arial" w:cs="Arial"/>
        </w:rPr>
        <w:t>полугодию</w:t>
      </w:r>
      <w:r w:rsidR="00175E6D" w:rsidRPr="00814F5C">
        <w:rPr>
          <w:rFonts w:ascii="Arial" w:hAnsi="Arial" w:cs="Arial"/>
        </w:rPr>
        <w:t xml:space="preserve"> </w:t>
      </w:r>
      <w:r w:rsidRPr="00814F5C">
        <w:rPr>
          <w:rFonts w:ascii="Arial" w:hAnsi="Arial" w:cs="Arial"/>
        </w:rPr>
        <w:t>202</w:t>
      </w:r>
      <w:r w:rsidR="00175E6D" w:rsidRPr="00814F5C">
        <w:rPr>
          <w:rFonts w:ascii="Arial" w:hAnsi="Arial" w:cs="Arial"/>
        </w:rPr>
        <w:t>2</w:t>
      </w:r>
      <w:r w:rsidRPr="00814F5C">
        <w:rPr>
          <w:rFonts w:ascii="Arial" w:hAnsi="Arial" w:cs="Arial"/>
        </w:rPr>
        <w:t xml:space="preserve"> г. Увеличились объемы услуг по </w:t>
      </w:r>
      <w:r w:rsidR="00175E6D" w:rsidRPr="00814F5C">
        <w:rPr>
          <w:rFonts w:ascii="Arial" w:hAnsi="Arial" w:cs="Arial"/>
        </w:rPr>
        <w:t xml:space="preserve">ремонту и строительству жилья </w:t>
      </w:r>
      <w:r w:rsidRPr="00814F5C">
        <w:rPr>
          <w:rFonts w:ascii="Arial" w:hAnsi="Arial" w:cs="Arial"/>
        </w:rPr>
        <w:t>(на</w:t>
      </w:r>
      <w:r w:rsidR="00175E6D" w:rsidRPr="00814F5C">
        <w:rPr>
          <w:rFonts w:ascii="Arial" w:hAnsi="Arial" w:cs="Arial"/>
        </w:rPr>
        <w:t xml:space="preserve"> 1</w:t>
      </w:r>
      <w:r w:rsidR="00866B02" w:rsidRPr="00814F5C">
        <w:rPr>
          <w:rFonts w:ascii="Arial" w:hAnsi="Arial" w:cs="Arial"/>
        </w:rPr>
        <w:t>4,0</w:t>
      </w:r>
      <w:r w:rsidRPr="00814F5C">
        <w:rPr>
          <w:rFonts w:ascii="Arial" w:hAnsi="Arial" w:cs="Arial"/>
        </w:rPr>
        <w:t xml:space="preserve">%), </w:t>
      </w:r>
      <w:r w:rsidR="00C77BD3" w:rsidRPr="00814F5C">
        <w:rPr>
          <w:rFonts w:ascii="Arial" w:hAnsi="Arial" w:cs="Arial"/>
        </w:rPr>
        <w:t xml:space="preserve">по аренде, лизингу и прокату (на </w:t>
      </w:r>
      <w:r w:rsidR="00866B02" w:rsidRPr="00814F5C">
        <w:rPr>
          <w:rFonts w:ascii="Arial" w:hAnsi="Arial" w:cs="Arial"/>
        </w:rPr>
        <w:t>14,2</w:t>
      </w:r>
      <w:r w:rsidR="00C77BD3" w:rsidRPr="00814F5C">
        <w:rPr>
          <w:rFonts w:ascii="Arial" w:hAnsi="Arial" w:cs="Arial"/>
        </w:rPr>
        <w:t>%), по ремонту и техобслуживанию бытовой техники (на 1</w:t>
      </w:r>
      <w:r w:rsidR="00866B02" w:rsidRPr="00814F5C">
        <w:rPr>
          <w:rFonts w:ascii="Arial" w:hAnsi="Arial" w:cs="Arial"/>
        </w:rPr>
        <w:t>3,5</w:t>
      </w:r>
      <w:r w:rsidR="00C77BD3" w:rsidRPr="00814F5C">
        <w:rPr>
          <w:rFonts w:ascii="Arial" w:hAnsi="Arial" w:cs="Arial"/>
        </w:rPr>
        <w:t>%),</w:t>
      </w:r>
      <w:r w:rsidR="00866B02" w:rsidRPr="00814F5C">
        <w:rPr>
          <w:rFonts w:ascii="Arial" w:hAnsi="Arial" w:cs="Arial"/>
        </w:rPr>
        <w:t xml:space="preserve"> по ремонту и техобслуживанию транспортных средств</w:t>
      </w:r>
      <w:r w:rsidR="00866B02" w:rsidRPr="00814F5C">
        <w:rPr>
          <w:rFonts w:ascii="Arial" w:hAnsi="Arial" w:cs="Arial"/>
        </w:rPr>
        <w:t xml:space="preserve"> (на </w:t>
      </w:r>
      <w:r w:rsidR="00866B02" w:rsidRPr="00814F5C">
        <w:rPr>
          <w:rFonts w:ascii="Arial" w:hAnsi="Arial" w:cs="Arial"/>
        </w:rPr>
        <w:t>2,4</w:t>
      </w:r>
      <w:r w:rsidR="00866B02" w:rsidRPr="00814F5C">
        <w:rPr>
          <w:rFonts w:ascii="Arial" w:hAnsi="Arial" w:cs="Arial"/>
        </w:rPr>
        <w:t>%),</w:t>
      </w:r>
      <w:r w:rsidR="00866B02" w:rsidRPr="00814F5C">
        <w:rPr>
          <w:rFonts w:ascii="Arial" w:hAnsi="Arial" w:cs="Arial"/>
        </w:rPr>
        <w:t xml:space="preserve"> </w:t>
      </w:r>
      <w:r w:rsidR="00C77BD3" w:rsidRPr="00814F5C">
        <w:rPr>
          <w:rFonts w:ascii="Arial" w:hAnsi="Arial" w:cs="Arial"/>
        </w:rPr>
        <w:t xml:space="preserve">услуг </w:t>
      </w:r>
      <w:r w:rsidRPr="00814F5C">
        <w:rPr>
          <w:rFonts w:ascii="Arial" w:hAnsi="Arial" w:cs="Arial"/>
        </w:rPr>
        <w:t>саун, бань и душ</w:t>
      </w:r>
      <w:r w:rsidRPr="00814F5C">
        <w:rPr>
          <w:rFonts w:ascii="Arial" w:hAnsi="Arial" w:cs="Arial"/>
        </w:rPr>
        <w:t>е</w:t>
      </w:r>
      <w:r w:rsidRPr="00814F5C">
        <w:rPr>
          <w:rFonts w:ascii="Arial" w:hAnsi="Arial" w:cs="Arial"/>
        </w:rPr>
        <w:t xml:space="preserve">вых (на </w:t>
      </w:r>
      <w:r w:rsidR="00866B02" w:rsidRPr="00814F5C">
        <w:rPr>
          <w:rFonts w:ascii="Arial" w:hAnsi="Arial" w:cs="Arial"/>
        </w:rPr>
        <w:t>6</w:t>
      </w:r>
      <w:r w:rsidR="00C77BD3" w:rsidRPr="00814F5C">
        <w:rPr>
          <w:rFonts w:ascii="Arial" w:hAnsi="Arial" w:cs="Arial"/>
        </w:rPr>
        <w:t>,8</w:t>
      </w:r>
      <w:r w:rsidRPr="00814F5C">
        <w:rPr>
          <w:rFonts w:ascii="Arial" w:hAnsi="Arial" w:cs="Arial"/>
        </w:rPr>
        <w:t>%)</w:t>
      </w:r>
      <w:r w:rsidR="00175E6D" w:rsidRPr="00814F5C">
        <w:rPr>
          <w:rFonts w:ascii="Arial" w:hAnsi="Arial" w:cs="Arial"/>
        </w:rPr>
        <w:t>, парикмахерских и косметологических</w:t>
      </w:r>
      <w:proofErr w:type="gramEnd"/>
      <w:r w:rsidR="00175E6D" w:rsidRPr="00814F5C">
        <w:rPr>
          <w:rFonts w:ascii="Arial" w:hAnsi="Arial" w:cs="Arial"/>
        </w:rPr>
        <w:t xml:space="preserve"> услуг (на </w:t>
      </w:r>
      <w:r w:rsidR="00866B02" w:rsidRPr="00814F5C">
        <w:rPr>
          <w:rFonts w:ascii="Arial" w:hAnsi="Arial" w:cs="Arial"/>
        </w:rPr>
        <w:t>7,9</w:t>
      </w:r>
      <w:r w:rsidR="00175E6D" w:rsidRPr="00814F5C">
        <w:rPr>
          <w:rFonts w:ascii="Arial" w:hAnsi="Arial" w:cs="Arial"/>
        </w:rPr>
        <w:t>%)</w:t>
      </w:r>
      <w:r w:rsidR="00866B02" w:rsidRPr="00814F5C">
        <w:rPr>
          <w:rFonts w:ascii="Arial" w:hAnsi="Arial" w:cs="Arial"/>
        </w:rPr>
        <w:t xml:space="preserve">, ритуальных </w:t>
      </w:r>
      <w:r w:rsidR="00866B02" w:rsidRPr="00814F5C">
        <w:rPr>
          <w:rFonts w:ascii="Arial" w:hAnsi="Arial" w:cs="Arial"/>
        </w:rPr>
        <w:t xml:space="preserve">услуг (на </w:t>
      </w:r>
      <w:r w:rsidR="00866B02" w:rsidRPr="00814F5C">
        <w:rPr>
          <w:rFonts w:ascii="Arial" w:hAnsi="Arial" w:cs="Arial"/>
        </w:rPr>
        <w:t>2,3</w:t>
      </w:r>
      <w:r w:rsidR="00866B02" w:rsidRPr="00814F5C">
        <w:rPr>
          <w:rFonts w:ascii="Arial" w:hAnsi="Arial" w:cs="Arial"/>
        </w:rPr>
        <w:t xml:space="preserve">%). </w:t>
      </w:r>
      <w:r w:rsidRPr="00814F5C">
        <w:rPr>
          <w:rFonts w:ascii="Arial" w:hAnsi="Arial" w:cs="Arial"/>
        </w:rPr>
        <w:t xml:space="preserve"> </w:t>
      </w:r>
    </w:p>
    <w:p w:rsidR="005B1202" w:rsidRPr="00814F5C" w:rsidRDefault="005B1202" w:rsidP="005B1202">
      <w:pPr>
        <w:ind w:firstLine="709"/>
        <w:contextualSpacing/>
        <w:jc w:val="both"/>
        <w:rPr>
          <w:rFonts w:ascii="Arial" w:hAnsi="Arial" w:cs="Arial"/>
        </w:rPr>
      </w:pPr>
      <w:r w:rsidRPr="00814F5C">
        <w:rPr>
          <w:rFonts w:ascii="Arial" w:hAnsi="Arial" w:cs="Arial"/>
        </w:rPr>
        <w:t xml:space="preserve">В структуре объема бытовых услуг </w:t>
      </w:r>
      <w:r w:rsidR="0078230B" w:rsidRPr="00814F5C">
        <w:rPr>
          <w:rFonts w:ascii="Arial" w:hAnsi="Arial" w:cs="Arial"/>
        </w:rPr>
        <w:t>6</w:t>
      </w:r>
      <w:r w:rsidR="00866B02" w:rsidRPr="00814F5C">
        <w:rPr>
          <w:rFonts w:ascii="Arial" w:hAnsi="Arial" w:cs="Arial"/>
        </w:rPr>
        <w:t>9,0</w:t>
      </w:r>
      <w:r w:rsidRPr="00814F5C">
        <w:rPr>
          <w:rFonts w:ascii="Arial" w:hAnsi="Arial" w:cs="Arial"/>
        </w:rPr>
        <w:t>% приходилось на услуги по ремо</w:t>
      </w:r>
      <w:r w:rsidRPr="00814F5C">
        <w:rPr>
          <w:rFonts w:ascii="Arial" w:hAnsi="Arial" w:cs="Arial"/>
        </w:rPr>
        <w:t>н</w:t>
      </w:r>
      <w:r w:rsidRPr="00814F5C">
        <w:rPr>
          <w:rFonts w:ascii="Arial" w:hAnsi="Arial" w:cs="Arial"/>
        </w:rPr>
        <w:t>ту и строительству жилья и других построек, техобслуживанию и ремонту транспор</w:t>
      </w:r>
      <w:r w:rsidRPr="00814F5C">
        <w:rPr>
          <w:rFonts w:ascii="Arial" w:hAnsi="Arial" w:cs="Arial"/>
        </w:rPr>
        <w:t>т</w:t>
      </w:r>
      <w:r w:rsidRPr="00814F5C">
        <w:rPr>
          <w:rFonts w:ascii="Arial" w:hAnsi="Arial" w:cs="Arial"/>
        </w:rPr>
        <w:t>ных средств, машин и оборудования, парикмахерские услуги.</w:t>
      </w:r>
    </w:p>
    <w:p w:rsidR="00A5791B" w:rsidRPr="00814F5C" w:rsidRDefault="00A5791B" w:rsidP="00A5791B">
      <w:pPr>
        <w:ind w:firstLine="709"/>
        <w:contextualSpacing/>
        <w:jc w:val="both"/>
        <w:rPr>
          <w:rFonts w:ascii="Arial" w:hAnsi="Arial" w:cs="Arial"/>
        </w:rPr>
      </w:pPr>
      <w:r w:rsidRPr="00814F5C">
        <w:rPr>
          <w:rFonts w:ascii="Arial" w:hAnsi="Arial" w:cs="Arial"/>
        </w:rPr>
        <w:t xml:space="preserve">Сфера потребительского рынка и услуг остается </w:t>
      </w:r>
      <w:proofErr w:type="spellStart"/>
      <w:r w:rsidRPr="00814F5C">
        <w:rPr>
          <w:rFonts w:ascii="Arial" w:hAnsi="Arial" w:cs="Arial"/>
        </w:rPr>
        <w:t>инвестиционно</w:t>
      </w:r>
      <w:proofErr w:type="spellEnd"/>
      <w:r w:rsidR="008A6DFF" w:rsidRPr="00814F5C">
        <w:rPr>
          <w:rFonts w:ascii="Arial" w:hAnsi="Arial" w:cs="Arial"/>
        </w:rPr>
        <w:t xml:space="preserve"> </w:t>
      </w:r>
      <w:proofErr w:type="spellStart"/>
      <w:proofErr w:type="gramStart"/>
      <w:r w:rsidRPr="00814F5C">
        <w:rPr>
          <w:rFonts w:ascii="Arial" w:hAnsi="Arial" w:cs="Arial"/>
        </w:rPr>
        <w:t>привлека</w:t>
      </w:r>
      <w:proofErr w:type="spellEnd"/>
      <w:r w:rsidRPr="00814F5C">
        <w:rPr>
          <w:rFonts w:ascii="Arial" w:hAnsi="Arial" w:cs="Arial"/>
        </w:rPr>
        <w:t>-тельной</w:t>
      </w:r>
      <w:proofErr w:type="gramEnd"/>
      <w:r w:rsidRPr="00814F5C">
        <w:rPr>
          <w:rFonts w:ascii="Arial" w:hAnsi="Arial" w:cs="Arial"/>
        </w:rPr>
        <w:t xml:space="preserve">. </w:t>
      </w:r>
      <w:r w:rsidR="00F54232" w:rsidRPr="00814F5C">
        <w:rPr>
          <w:rFonts w:ascii="Arial" w:hAnsi="Arial" w:cs="Arial"/>
        </w:rPr>
        <w:t>В</w:t>
      </w:r>
      <w:r w:rsidRPr="00814F5C">
        <w:rPr>
          <w:rFonts w:ascii="Arial" w:hAnsi="Arial" w:cs="Arial"/>
        </w:rPr>
        <w:t xml:space="preserve"> </w:t>
      </w:r>
      <w:r w:rsidR="00D93257" w:rsidRPr="00814F5C">
        <w:rPr>
          <w:rFonts w:ascii="Arial" w:hAnsi="Arial" w:cs="Arial"/>
          <w:lang w:val="en-US"/>
        </w:rPr>
        <w:t>I</w:t>
      </w:r>
      <w:r w:rsidR="0078230B" w:rsidRPr="00814F5C">
        <w:rPr>
          <w:rFonts w:ascii="Arial" w:hAnsi="Arial" w:cs="Arial"/>
        </w:rPr>
        <w:t xml:space="preserve"> </w:t>
      </w:r>
      <w:r w:rsidR="00866B02" w:rsidRPr="00814F5C">
        <w:rPr>
          <w:rFonts w:ascii="Arial" w:hAnsi="Arial" w:cs="Arial"/>
        </w:rPr>
        <w:t>полугодии</w:t>
      </w:r>
      <w:r w:rsidR="0078230B" w:rsidRPr="00814F5C">
        <w:rPr>
          <w:rFonts w:ascii="Arial" w:hAnsi="Arial" w:cs="Arial"/>
        </w:rPr>
        <w:t xml:space="preserve"> </w:t>
      </w:r>
      <w:r w:rsidRPr="00814F5C">
        <w:rPr>
          <w:rFonts w:ascii="Arial" w:hAnsi="Arial" w:cs="Arial"/>
        </w:rPr>
        <w:t>202</w:t>
      </w:r>
      <w:r w:rsidR="0078230B" w:rsidRPr="00814F5C">
        <w:rPr>
          <w:rFonts w:ascii="Arial" w:hAnsi="Arial" w:cs="Arial"/>
        </w:rPr>
        <w:t>3</w:t>
      </w:r>
      <w:r w:rsidRPr="00814F5C">
        <w:rPr>
          <w:rFonts w:ascii="Arial" w:hAnsi="Arial" w:cs="Arial"/>
        </w:rPr>
        <w:t xml:space="preserve"> г. открыто и реконструировано </w:t>
      </w:r>
      <w:r w:rsidR="0078230B" w:rsidRPr="00814F5C">
        <w:rPr>
          <w:rFonts w:ascii="Arial" w:hAnsi="Arial" w:cs="Arial"/>
        </w:rPr>
        <w:t>1</w:t>
      </w:r>
      <w:r w:rsidR="00600625" w:rsidRPr="00814F5C">
        <w:rPr>
          <w:rFonts w:ascii="Arial" w:hAnsi="Arial" w:cs="Arial"/>
        </w:rPr>
        <w:t>82</w:t>
      </w:r>
      <w:r w:rsidRPr="00814F5C">
        <w:rPr>
          <w:rFonts w:ascii="Arial" w:hAnsi="Arial" w:cs="Arial"/>
        </w:rPr>
        <w:t xml:space="preserve"> объект</w:t>
      </w:r>
      <w:r w:rsidR="00600625" w:rsidRPr="00814F5C">
        <w:rPr>
          <w:rFonts w:ascii="Arial" w:hAnsi="Arial" w:cs="Arial"/>
        </w:rPr>
        <w:t>а</w:t>
      </w:r>
      <w:r w:rsidRPr="00814F5C">
        <w:rPr>
          <w:rFonts w:ascii="Arial" w:hAnsi="Arial" w:cs="Arial"/>
        </w:rPr>
        <w:t xml:space="preserve"> потреб</w:t>
      </w:r>
      <w:r w:rsidRPr="00814F5C">
        <w:rPr>
          <w:rFonts w:ascii="Arial" w:hAnsi="Arial" w:cs="Arial"/>
        </w:rPr>
        <w:t>и</w:t>
      </w:r>
      <w:r w:rsidRPr="00814F5C">
        <w:rPr>
          <w:rFonts w:ascii="Arial" w:hAnsi="Arial" w:cs="Arial"/>
        </w:rPr>
        <w:t>тельского</w:t>
      </w:r>
      <w:r w:rsidR="00E519CA" w:rsidRPr="00814F5C">
        <w:rPr>
          <w:rFonts w:ascii="Arial" w:hAnsi="Arial" w:cs="Arial"/>
        </w:rPr>
        <w:t xml:space="preserve"> рынка</w:t>
      </w:r>
      <w:r w:rsidR="00600625" w:rsidRPr="00814F5C">
        <w:rPr>
          <w:rFonts w:ascii="Arial" w:hAnsi="Arial" w:cs="Arial"/>
        </w:rPr>
        <w:t xml:space="preserve">, </w:t>
      </w:r>
      <w:r w:rsidR="003436E1" w:rsidRPr="00814F5C">
        <w:rPr>
          <w:rFonts w:ascii="Arial" w:hAnsi="Arial" w:cs="Arial"/>
        </w:rPr>
        <w:t xml:space="preserve">из них </w:t>
      </w:r>
      <w:r w:rsidR="00600625" w:rsidRPr="00814F5C">
        <w:rPr>
          <w:rFonts w:ascii="Arial" w:hAnsi="Arial" w:cs="Arial"/>
        </w:rPr>
        <w:t>123</w:t>
      </w:r>
      <w:r w:rsidR="003436E1" w:rsidRPr="00814F5C">
        <w:rPr>
          <w:rFonts w:ascii="Arial" w:hAnsi="Arial" w:cs="Arial"/>
        </w:rPr>
        <w:t xml:space="preserve"> предприятий торговли, </w:t>
      </w:r>
      <w:r w:rsidR="00600625" w:rsidRPr="00814F5C">
        <w:rPr>
          <w:rFonts w:ascii="Arial" w:hAnsi="Arial" w:cs="Arial"/>
        </w:rPr>
        <w:t>35</w:t>
      </w:r>
      <w:r w:rsidR="003436E1" w:rsidRPr="00814F5C">
        <w:rPr>
          <w:rFonts w:ascii="Arial" w:hAnsi="Arial" w:cs="Arial"/>
        </w:rPr>
        <w:t xml:space="preserve"> объект</w:t>
      </w:r>
      <w:r w:rsidR="0078230B" w:rsidRPr="00814F5C">
        <w:rPr>
          <w:rFonts w:ascii="Arial" w:hAnsi="Arial" w:cs="Arial"/>
        </w:rPr>
        <w:t>ов</w:t>
      </w:r>
      <w:r w:rsidR="003436E1" w:rsidRPr="00814F5C">
        <w:rPr>
          <w:rFonts w:ascii="Arial" w:hAnsi="Arial" w:cs="Arial"/>
        </w:rPr>
        <w:t xml:space="preserve"> общественного питания и </w:t>
      </w:r>
      <w:r w:rsidR="00600625" w:rsidRPr="00814F5C">
        <w:rPr>
          <w:rFonts w:ascii="Arial" w:hAnsi="Arial" w:cs="Arial"/>
        </w:rPr>
        <w:t>24</w:t>
      </w:r>
      <w:r w:rsidR="003436E1" w:rsidRPr="00814F5C">
        <w:rPr>
          <w:rFonts w:ascii="Arial" w:hAnsi="Arial" w:cs="Arial"/>
        </w:rPr>
        <w:t xml:space="preserve"> объект</w:t>
      </w:r>
      <w:r w:rsidR="0078230B" w:rsidRPr="00814F5C">
        <w:rPr>
          <w:rFonts w:ascii="Arial" w:hAnsi="Arial" w:cs="Arial"/>
        </w:rPr>
        <w:t>ов</w:t>
      </w:r>
      <w:r w:rsidR="003436E1" w:rsidRPr="00814F5C">
        <w:rPr>
          <w:rFonts w:ascii="Arial" w:hAnsi="Arial" w:cs="Arial"/>
        </w:rPr>
        <w:t xml:space="preserve"> бытового обслуживания населения.</w:t>
      </w:r>
      <w:r w:rsidRPr="00814F5C">
        <w:rPr>
          <w:rFonts w:ascii="Arial" w:hAnsi="Arial" w:cs="Arial"/>
        </w:rPr>
        <w:t xml:space="preserve"> Обеспеченность нас</w:t>
      </w:r>
      <w:r w:rsidRPr="00814F5C">
        <w:rPr>
          <w:rFonts w:ascii="Arial" w:hAnsi="Arial" w:cs="Arial"/>
        </w:rPr>
        <w:t>е</w:t>
      </w:r>
      <w:r w:rsidRPr="00814F5C">
        <w:rPr>
          <w:rFonts w:ascii="Arial" w:hAnsi="Arial" w:cs="Arial"/>
        </w:rPr>
        <w:t xml:space="preserve">ления площадью торговых объектов на 1000 чел. составляет </w:t>
      </w:r>
      <w:r w:rsidR="00C77BD3" w:rsidRPr="00814F5C">
        <w:rPr>
          <w:rFonts w:ascii="Arial" w:hAnsi="Arial" w:cs="Arial"/>
        </w:rPr>
        <w:t>824,1</w:t>
      </w:r>
      <w:r w:rsidRPr="00814F5C">
        <w:rPr>
          <w:rFonts w:ascii="Arial" w:hAnsi="Arial" w:cs="Arial"/>
        </w:rPr>
        <w:t xml:space="preserve"> кв. м., что в 2,6 раза выше установленн</w:t>
      </w:r>
      <w:r w:rsidRPr="00814F5C">
        <w:rPr>
          <w:rFonts w:ascii="Arial" w:hAnsi="Arial" w:cs="Arial"/>
        </w:rPr>
        <w:t>о</w:t>
      </w:r>
      <w:r w:rsidRPr="00814F5C">
        <w:rPr>
          <w:rFonts w:ascii="Arial" w:hAnsi="Arial" w:cs="Arial"/>
        </w:rPr>
        <w:t>го норматива (317,5</w:t>
      </w:r>
      <w:r w:rsidR="00E519CA" w:rsidRPr="00814F5C">
        <w:rPr>
          <w:rFonts w:ascii="Arial" w:hAnsi="Arial" w:cs="Arial"/>
        </w:rPr>
        <w:t xml:space="preserve"> кв. м.). Фактическая обеспечен</w:t>
      </w:r>
      <w:r w:rsidRPr="00814F5C">
        <w:rPr>
          <w:rFonts w:ascii="Arial" w:hAnsi="Arial" w:cs="Arial"/>
        </w:rPr>
        <w:t>ность населения торговыми павильонами и киосками составила 9,0 ед. на 10,0 тыс. чел. населения при норм</w:t>
      </w:r>
      <w:r w:rsidRPr="00814F5C">
        <w:rPr>
          <w:rFonts w:ascii="Arial" w:hAnsi="Arial" w:cs="Arial"/>
        </w:rPr>
        <w:t>а</w:t>
      </w:r>
      <w:r w:rsidRPr="00814F5C">
        <w:rPr>
          <w:rFonts w:ascii="Arial" w:hAnsi="Arial" w:cs="Arial"/>
        </w:rPr>
        <w:t>тиве 7,6 ед.</w:t>
      </w:r>
      <w:r w:rsidR="00157874" w:rsidRPr="00814F5C">
        <w:t xml:space="preserve"> </w:t>
      </w:r>
    </w:p>
    <w:p w:rsidR="005974AF" w:rsidRPr="00814F5C" w:rsidRDefault="005974AF" w:rsidP="005974AF">
      <w:pPr>
        <w:ind w:firstLine="709"/>
        <w:contextualSpacing/>
        <w:jc w:val="both"/>
        <w:rPr>
          <w:rFonts w:ascii="Arial" w:hAnsi="Arial" w:cs="Arial"/>
        </w:rPr>
      </w:pPr>
      <w:r w:rsidRPr="00814F5C">
        <w:rPr>
          <w:rFonts w:ascii="Arial" w:hAnsi="Arial" w:cs="Arial"/>
        </w:rPr>
        <w:t>Удельный вес сетевых торговых структур в общем объеме оборота розни</w:t>
      </w:r>
      <w:r w:rsidRPr="00814F5C">
        <w:rPr>
          <w:rFonts w:ascii="Arial" w:hAnsi="Arial" w:cs="Arial"/>
        </w:rPr>
        <w:t>ч</w:t>
      </w:r>
      <w:r w:rsidRPr="00814F5C">
        <w:rPr>
          <w:rFonts w:ascii="Arial" w:hAnsi="Arial" w:cs="Arial"/>
        </w:rPr>
        <w:t>ной продовольственной торговли составил 4</w:t>
      </w:r>
      <w:r w:rsidR="00D94AB8" w:rsidRPr="00814F5C">
        <w:rPr>
          <w:rFonts w:ascii="Arial" w:hAnsi="Arial" w:cs="Arial"/>
        </w:rPr>
        <w:t>4,0</w:t>
      </w:r>
      <w:r w:rsidRPr="00814F5C">
        <w:rPr>
          <w:rFonts w:ascii="Arial" w:hAnsi="Arial" w:cs="Arial"/>
        </w:rPr>
        <w:t xml:space="preserve">% (в </w:t>
      </w:r>
      <w:r w:rsidR="0078230B" w:rsidRPr="00814F5C">
        <w:rPr>
          <w:rFonts w:ascii="Arial" w:hAnsi="Arial" w:cs="Arial"/>
        </w:rPr>
        <w:t>2022 году - 43,5%</w:t>
      </w:r>
      <w:r w:rsidR="00D94AB8" w:rsidRPr="00814F5C">
        <w:rPr>
          <w:rFonts w:ascii="Arial" w:hAnsi="Arial" w:cs="Arial"/>
        </w:rPr>
        <w:t>,</w:t>
      </w:r>
      <w:r w:rsidR="0078230B" w:rsidRPr="00814F5C">
        <w:rPr>
          <w:rFonts w:ascii="Arial" w:hAnsi="Arial" w:cs="Arial"/>
        </w:rPr>
        <w:t xml:space="preserve"> в </w:t>
      </w:r>
      <w:r w:rsidRPr="00814F5C">
        <w:rPr>
          <w:rFonts w:ascii="Arial" w:hAnsi="Arial" w:cs="Arial"/>
        </w:rPr>
        <w:t>2021 году – 41,2%). Местные торговые сети Чувашии представлены в основном фирменн</w:t>
      </w:r>
      <w:r w:rsidRPr="00814F5C">
        <w:rPr>
          <w:rFonts w:ascii="Arial" w:hAnsi="Arial" w:cs="Arial"/>
        </w:rPr>
        <w:t>ы</w:t>
      </w:r>
      <w:r w:rsidRPr="00814F5C">
        <w:rPr>
          <w:rFonts w:ascii="Arial" w:hAnsi="Arial" w:cs="Arial"/>
        </w:rPr>
        <w:t xml:space="preserve">ми магазинами товаропроизводителей и организациями системы потребительской кооперации. </w:t>
      </w:r>
    </w:p>
    <w:p w:rsidR="007275C8" w:rsidRPr="00814F5C" w:rsidRDefault="00E959DD" w:rsidP="005B1202">
      <w:pPr>
        <w:ind w:firstLine="709"/>
        <w:contextualSpacing/>
        <w:jc w:val="both"/>
        <w:rPr>
          <w:rFonts w:ascii="Arial" w:hAnsi="Arial" w:cs="Arial"/>
        </w:rPr>
      </w:pPr>
      <w:r w:rsidRPr="00814F5C">
        <w:rPr>
          <w:rFonts w:ascii="Arial" w:hAnsi="Arial" w:cs="Arial"/>
        </w:rPr>
        <w:t xml:space="preserve">В </w:t>
      </w:r>
      <w:r w:rsidR="00D93257" w:rsidRPr="00814F5C">
        <w:rPr>
          <w:rFonts w:ascii="Arial" w:hAnsi="Arial" w:cs="Arial"/>
          <w:lang w:val="en-US"/>
        </w:rPr>
        <w:t>I</w:t>
      </w:r>
      <w:r w:rsidR="00454435" w:rsidRPr="00814F5C">
        <w:rPr>
          <w:rFonts w:ascii="Arial" w:hAnsi="Arial" w:cs="Arial"/>
        </w:rPr>
        <w:t xml:space="preserve"> </w:t>
      </w:r>
      <w:r w:rsidR="00600625" w:rsidRPr="00814F5C">
        <w:rPr>
          <w:rFonts w:ascii="Arial" w:hAnsi="Arial" w:cs="Arial"/>
        </w:rPr>
        <w:t>полугодии</w:t>
      </w:r>
      <w:r w:rsidR="00454435" w:rsidRPr="00814F5C">
        <w:rPr>
          <w:rFonts w:ascii="Arial" w:hAnsi="Arial" w:cs="Arial"/>
        </w:rPr>
        <w:t xml:space="preserve"> </w:t>
      </w:r>
      <w:r w:rsidRPr="00814F5C">
        <w:rPr>
          <w:rFonts w:ascii="Arial" w:hAnsi="Arial" w:cs="Arial"/>
        </w:rPr>
        <w:t>202</w:t>
      </w:r>
      <w:r w:rsidR="00454435" w:rsidRPr="00814F5C">
        <w:rPr>
          <w:rFonts w:ascii="Arial" w:hAnsi="Arial" w:cs="Arial"/>
        </w:rPr>
        <w:t>3</w:t>
      </w:r>
      <w:r w:rsidRPr="00814F5C">
        <w:rPr>
          <w:rFonts w:ascii="Arial" w:hAnsi="Arial" w:cs="Arial"/>
        </w:rPr>
        <w:t xml:space="preserve"> год</w:t>
      </w:r>
      <w:r w:rsidR="00454435" w:rsidRPr="00814F5C">
        <w:rPr>
          <w:rFonts w:ascii="Arial" w:hAnsi="Arial" w:cs="Arial"/>
        </w:rPr>
        <w:t>а</w:t>
      </w:r>
      <w:r w:rsidRPr="00814F5C">
        <w:rPr>
          <w:rFonts w:ascii="Arial" w:hAnsi="Arial" w:cs="Arial"/>
        </w:rPr>
        <w:t xml:space="preserve"> в республике функционировали 1</w:t>
      </w:r>
      <w:r w:rsidR="00600625" w:rsidRPr="00814F5C">
        <w:rPr>
          <w:rFonts w:ascii="Arial" w:hAnsi="Arial" w:cs="Arial"/>
        </w:rPr>
        <w:t>31</w:t>
      </w:r>
      <w:r w:rsidRPr="00814F5C">
        <w:rPr>
          <w:rFonts w:ascii="Arial" w:hAnsi="Arial" w:cs="Arial"/>
        </w:rPr>
        <w:t xml:space="preserve"> торгов</w:t>
      </w:r>
      <w:r w:rsidR="00600625" w:rsidRPr="00814F5C">
        <w:rPr>
          <w:rFonts w:ascii="Arial" w:hAnsi="Arial" w:cs="Arial"/>
        </w:rPr>
        <w:t>ая</w:t>
      </w:r>
      <w:r w:rsidRPr="00814F5C">
        <w:rPr>
          <w:rFonts w:ascii="Arial" w:hAnsi="Arial" w:cs="Arial"/>
        </w:rPr>
        <w:t xml:space="preserve"> пл</w:t>
      </w:r>
      <w:r w:rsidRPr="00814F5C">
        <w:rPr>
          <w:rFonts w:ascii="Arial" w:hAnsi="Arial" w:cs="Arial"/>
        </w:rPr>
        <w:t>о</w:t>
      </w:r>
      <w:r w:rsidRPr="00814F5C">
        <w:rPr>
          <w:rFonts w:ascii="Arial" w:hAnsi="Arial" w:cs="Arial"/>
        </w:rPr>
        <w:t>щад</w:t>
      </w:r>
      <w:r w:rsidR="00600625" w:rsidRPr="00814F5C">
        <w:rPr>
          <w:rFonts w:ascii="Arial" w:hAnsi="Arial" w:cs="Arial"/>
        </w:rPr>
        <w:t>ка</w:t>
      </w:r>
      <w:r w:rsidR="00454435" w:rsidRPr="00814F5C">
        <w:rPr>
          <w:rFonts w:ascii="Arial" w:hAnsi="Arial" w:cs="Arial"/>
        </w:rPr>
        <w:t xml:space="preserve"> для проведения ярмарок</w:t>
      </w:r>
      <w:r w:rsidRPr="00814F5C">
        <w:rPr>
          <w:rFonts w:ascii="Arial" w:hAnsi="Arial" w:cs="Arial"/>
        </w:rPr>
        <w:t xml:space="preserve">. В целом за </w:t>
      </w:r>
      <w:r w:rsidR="00600625" w:rsidRPr="00814F5C">
        <w:rPr>
          <w:rFonts w:ascii="Arial" w:hAnsi="Arial" w:cs="Arial"/>
        </w:rPr>
        <w:t>полугодие</w:t>
      </w:r>
      <w:r w:rsidR="00454435" w:rsidRPr="00814F5C">
        <w:rPr>
          <w:rFonts w:ascii="Arial" w:hAnsi="Arial" w:cs="Arial"/>
        </w:rPr>
        <w:t xml:space="preserve"> </w:t>
      </w:r>
      <w:proofErr w:type="spellStart"/>
      <w:r w:rsidR="00454435" w:rsidRPr="00814F5C">
        <w:rPr>
          <w:rFonts w:ascii="Arial" w:hAnsi="Arial" w:cs="Arial"/>
        </w:rPr>
        <w:t>т.г</w:t>
      </w:r>
      <w:proofErr w:type="spellEnd"/>
      <w:r w:rsidR="00454435" w:rsidRPr="00814F5C">
        <w:rPr>
          <w:rFonts w:ascii="Arial" w:hAnsi="Arial" w:cs="Arial"/>
        </w:rPr>
        <w:t>.</w:t>
      </w:r>
      <w:r w:rsidRPr="00814F5C">
        <w:rPr>
          <w:rFonts w:ascii="Arial" w:hAnsi="Arial" w:cs="Arial"/>
        </w:rPr>
        <w:t xml:space="preserve"> проведено более </w:t>
      </w:r>
      <w:r w:rsidR="00600625" w:rsidRPr="00814F5C">
        <w:rPr>
          <w:rFonts w:ascii="Arial" w:hAnsi="Arial" w:cs="Arial"/>
        </w:rPr>
        <w:t>4,0</w:t>
      </w:r>
      <w:r w:rsidRPr="00814F5C">
        <w:rPr>
          <w:rFonts w:ascii="Arial" w:hAnsi="Arial" w:cs="Arial"/>
        </w:rPr>
        <w:t xml:space="preserve"> тыс. ярма</w:t>
      </w:r>
      <w:r w:rsidR="00D920E1" w:rsidRPr="00814F5C">
        <w:rPr>
          <w:rFonts w:ascii="Arial" w:hAnsi="Arial" w:cs="Arial"/>
        </w:rPr>
        <w:t>рок</w:t>
      </w:r>
      <w:r w:rsidRPr="00814F5C">
        <w:rPr>
          <w:rFonts w:ascii="Arial" w:hAnsi="Arial" w:cs="Arial"/>
        </w:rPr>
        <w:t xml:space="preserve"> </w:t>
      </w:r>
      <w:r w:rsidR="00D920E1" w:rsidRPr="00814F5C">
        <w:rPr>
          <w:rFonts w:ascii="Arial" w:hAnsi="Arial" w:cs="Arial"/>
        </w:rPr>
        <w:t xml:space="preserve">«выходного дня», в том числе </w:t>
      </w:r>
      <w:r w:rsidR="00600625" w:rsidRPr="00814F5C">
        <w:rPr>
          <w:rFonts w:ascii="Arial" w:hAnsi="Arial" w:cs="Arial"/>
        </w:rPr>
        <w:t>76</w:t>
      </w:r>
      <w:r w:rsidR="00D920E1" w:rsidRPr="00814F5C">
        <w:rPr>
          <w:rFonts w:ascii="Arial" w:hAnsi="Arial" w:cs="Arial"/>
        </w:rPr>
        <w:t xml:space="preserve">0 – сельскохозяйственных. </w:t>
      </w:r>
    </w:p>
    <w:p w:rsidR="009F003E" w:rsidRPr="00814F5C" w:rsidRDefault="0066144E" w:rsidP="005B1202">
      <w:pPr>
        <w:ind w:firstLine="709"/>
        <w:contextualSpacing/>
        <w:jc w:val="both"/>
        <w:rPr>
          <w:rFonts w:ascii="Arial" w:hAnsi="Arial" w:cs="Arial"/>
        </w:rPr>
      </w:pPr>
      <w:r w:rsidRPr="00814F5C">
        <w:rPr>
          <w:rFonts w:ascii="Arial" w:hAnsi="Arial" w:cs="Arial"/>
        </w:rPr>
        <w:t>Развитие розничной торговой сети в сельской местности происходит за счет ра</w:t>
      </w:r>
      <w:r w:rsidR="009F003E" w:rsidRPr="00814F5C">
        <w:rPr>
          <w:rFonts w:ascii="Arial" w:hAnsi="Arial" w:cs="Arial"/>
        </w:rPr>
        <w:t>звития</w:t>
      </w:r>
      <w:r w:rsidRPr="00814F5C">
        <w:rPr>
          <w:rFonts w:ascii="Arial" w:hAnsi="Arial" w:cs="Arial"/>
        </w:rPr>
        <w:t xml:space="preserve"> развозной торговли, дистанционной торговли (в том числе по заказам), в основном силами организаций системы потребительской кооперации. Коопер</w:t>
      </w:r>
      <w:r w:rsidRPr="00814F5C">
        <w:rPr>
          <w:rFonts w:ascii="Arial" w:hAnsi="Arial" w:cs="Arial"/>
        </w:rPr>
        <w:t>а</w:t>
      </w:r>
      <w:r w:rsidRPr="00814F5C">
        <w:rPr>
          <w:rFonts w:ascii="Arial" w:hAnsi="Arial" w:cs="Arial"/>
        </w:rPr>
        <w:t>тивные организации обеспечивают по заявкам сельское население и крестьянские (фермерские) хозяйства транспортными средствами, строительными материал</w:t>
      </w:r>
      <w:r w:rsidRPr="00814F5C">
        <w:rPr>
          <w:rFonts w:ascii="Arial" w:hAnsi="Arial" w:cs="Arial"/>
        </w:rPr>
        <w:t>а</w:t>
      </w:r>
      <w:r w:rsidRPr="00814F5C">
        <w:rPr>
          <w:rFonts w:ascii="Arial" w:hAnsi="Arial" w:cs="Arial"/>
        </w:rPr>
        <w:t xml:space="preserve">ми, сельскохозяйственной техникой, инвентарем, семенами овощных культур и удобрениями. </w:t>
      </w:r>
    </w:p>
    <w:p w:rsidR="00AA004F" w:rsidRPr="00814F5C" w:rsidRDefault="0066144E" w:rsidP="00AA004F">
      <w:pPr>
        <w:ind w:firstLine="709"/>
        <w:contextualSpacing/>
        <w:jc w:val="both"/>
        <w:rPr>
          <w:rFonts w:ascii="Arial" w:hAnsi="Arial" w:cs="Arial"/>
        </w:rPr>
      </w:pPr>
      <w:r w:rsidRPr="00814F5C">
        <w:rPr>
          <w:rFonts w:ascii="Arial" w:hAnsi="Arial" w:cs="Arial"/>
        </w:rPr>
        <w:lastRenderedPageBreak/>
        <w:t>Организации</w:t>
      </w:r>
      <w:r w:rsidR="009F003E" w:rsidRPr="00814F5C">
        <w:rPr>
          <w:rFonts w:ascii="Arial" w:hAnsi="Arial" w:cs="Arial"/>
        </w:rPr>
        <w:t xml:space="preserve"> </w:t>
      </w:r>
      <w:r w:rsidRPr="00814F5C">
        <w:rPr>
          <w:rFonts w:ascii="Arial" w:hAnsi="Arial" w:cs="Arial"/>
        </w:rPr>
        <w:t>Чувашпотребсоюза</w:t>
      </w:r>
      <w:r w:rsidR="009F003E" w:rsidRPr="00814F5C">
        <w:rPr>
          <w:rFonts w:ascii="Arial" w:hAnsi="Arial" w:cs="Arial"/>
        </w:rPr>
        <w:t xml:space="preserve"> </w:t>
      </w:r>
      <w:r w:rsidRPr="00814F5C">
        <w:rPr>
          <w:rFonts w:ascii="Arial" w:hAnsi="Arial" w:cs="Arial"/>
        </w:rPr>
        <w:t xml:space="preserve">обеспечивают занятостью в сельской местности </w:t>
      </w:r>
      <w:r w:rsidR="000B36AE" w:rsidRPr="00814F5C">
        <w:rPr>
          <w:rFonts w:ascii="Arial" w:hAnsi="Arial" w:cs="Arial"/>
        </w:rPr>
        <w:t>более 5</w:t>
      </w:r>
      <w:r w:rsidRPr="00814F5C">
        <w:rPr>
          <w:rFonts w:ascii="Arial" w:hAnsi="Arial" w:cs="Arial"/>
        </w:rPr>
        <w:t xml:space="preserve"> тыс</w:t>
      </w:r>
      <w:r w:rsidR="00FF7AEC" w:rsidRPr="00814F5C">
        <w:rPr>
          <w:rFonts w:ascii="Arial" w:hAnsi="Arial" w:cs="Arial"/>
        </w:rPr>
        <w:t>.</w:t>
      </w:r>
      <w:r w:rsidRPr="00814F5C">
        <w:rPr>
          <w:rFonts w:ascii="Arial" w:hAnsi="Arial" w:cs="Arial"/>
        </w:rPr>
        <w:t xml:space="preserve"> человек. </w:t>
      </w:r>
      <w:r w:rsidR="00AA004F" w:rsidRPr="00814F5C">
        <w:rPr>
          <w:rFonts w:ascii="Arial" w:hAnsi="Arial" w:cs="Arial"/>
        </w:rPr>
        <w:t>Во Всероссийском соревновании «За эффекти</w:t>
      </w:r>
      <w:r w:rsidR="00AA004F" w:rsidRPr="00814F5C">
        <w:rPr>
          <w:rFonts w:ascii="Arial" w:hAnsi="Arial" w:cs="Arial"/>
        </w:rPr>
        <w:t>в</w:t>
      </w:r>
      <w:r w:rsidR="00AA004F" w:rsidRPr="00814F5C">
        <w:rPr>
          <w:rFonts w:ascii="Arial" w:hAnsi="Arial" w:cs="Arial"/>
        </w:rPr>
        <w:t>ное развитие отраслей деятельности» за 2022 год  Чувашскому  республиканск</w:t>
      </w:r>
      <w:r w:rsidR="00AA004F" w:rsidRPr="00814F5C">
        <w:rPr>
          <w:rFonts w:ascii="Arial" w:hAnsi="Arial" w:cs="Arial"/>
        </w:rPr>
        <w:t>о</w:t>
      </w:r>
      <w:r w:rsidR="00AA004F" w:rsidRPr="00814F5C">
        <w:rPr>
          <w:rFonts w:ascii="Arial" w:hAnsi="Arial" w:cs="Arial"/>
        </w:rPr>
        <w:t>му союзу потребительских обще</w:t>
      </w:r>
      <w:proofErr w:type="gramStart"/>
      <w:r w:rsidR="00AA004F" w:rsidRPr="00814F5C">
        <w:rPr>
          <w:rFonts w:ascii="Arial" w:hAnsi="Arial" w:cs="Arial"/>
        </w:rPr>
        <w:t>ств пр</w:t>
      </w:r>
      <w:proofErr w:type="gramEnd"/>
      <w:r w:rsidR="00AA004F" w:rsidRPr="00814F5C">
        <w:rPr>
          <w:rFonts w:ascii="Arial" w:hAnsi="Arial" w:cs="Arial"/>
        </w:rPr>
        <w:t xml:space="preserve">исуждено первое место за развитие общей деятельности среди 64 региональных </w:t>
      </w:r>
      <w:proofErr w:type="spellStart"/>
      <w:r w:rsidR="00AA004F" w:rsidRPr="00814F5C">
        <w:rPr>
          <w:rFonts w:ascii="Arial" w:hAnsi="Arial" w:cs="Arial"/>
        </w:rPr>
        <w:t>потребсоюзов</w:t>
      </w:r>
      <w:proofErr w:type="spellEnd"/>
      <w:r w:rsidR="00AA004F" w:rsidRPr="00814F5C">
        <w:rPr>
          <w:rFonts w:ascii="Arial" w:hAnsi="Arial" w:cs="Arial"/>
        </w:rPr>
        <w:t xml:space="preserve"> страны и по Приволжскому федеральному округу. </w:t>
      </w:r>
    </w:p>
    <w:p w:rsidR="003E01B7" w:rsidRPr="00814F5C" w:rsidRDefault="003E01B7" w:rsidP="003E01B7">
      <w:pPr>
        <w:ind w:firstLine="709"/>
        <w:contextualSpacing/>
        <w:jc w:val="both"/>
        <w:rPr>
          <w:rFonts w:ascii="Arial" w:hAnsi="Arial" w:cs="Arial"/>
        </w:rPr>
      </w:pPr>
      <w:r w:rsidRPr="00814F5C">
        <w:rPr>
          <w:rFonts w:ascii="Arial" w:hAnsi="Arial" w:cs="Arial"/>
        </w:rPr>
        <w:t>Прогрессирующее развитие информационных техн</w:t>
      </w:r>
      <w:r w:rsidRPr="00814F5C">
        <w:rPr>
          <w:rFonts w:ascii="Arial" w:hAnsi="Arial" w:cs="Arial"/>
        </w:rPr>
        <w:t>о</w:t>
      </w:r>
      <w:r w:rsidRPr="00814F5C">
        <w:rPr>
          <w:rFonts w:ascii="Arial" w:hAnsi="Arial" w:cs="Arial"/>
        </w:rPr>
        <w:t xml:space="preserve">логий, широкое </w:t>
      </w:r>
      <w:r w:rsidRPr="00814F5C">
        <w:rPr>
          <w:rFonts w:ascii="Arial" w:hAnsi="Arial" w:cs="Arial"/>
        </w:rPr>
        <w:br/>
        <w:t>распространение информационно</w:t>
      </w:r>
      <w:r w:rsidRPr="00814F5C">
        <w:rPr>
          <w:rFonts w:ascii="Arial" w:hAnsi="Arial" w:cs="Arial"/>
          <w:color w:val="000000"/>
        </w:rPr>
        <w:t>-</w:t>
      </w:r>
      <w:r w:rsidRPr="00814F5C">
        <w:rPr>
          <w:rFonts w:ascii="Arial" w:hAnsi="Arial" w:cs="Arial"/>
        </w:rPr>
        <w:t xml:space="preserve">телекоммуникационной сети Интернет, </w:t>
      </w:r>
      <w:r w:rsidRPr="00814F5C">
        <w:rPr>
          <w:rFonts w:ascii="Arial" w:hAnsi="Arial" w:cs="Arial"/>
        </w:rPr>
        <w:br/>
        <w:t xml:space="preserve">информатизация общества, а также отсутствие запретов по дистанционной </w:t>
      </w:r>
      <w:r w:rsidRPr="00814F5C">
        <w:rPr>
          <w:rFonts w:ascii="Arial" w:hAnsi="Arial" w:cs="Arial"/>
        </w:rPr>
        <w:br/>
        <w:t>торговле в период реализации ограничительных мер сп</w:t>
      </w:r>
      <w:r w:rsidRPr="00814F5C">
        <w:rPr>
          <w:rFonts w:ascii="Arial" w:hAnsi="Arial" w:cs="Arial"/>
        </w:rPr>
        <w:t>о</w:t>
      </w:r>
      <w:r w:rsidRPr="00814F5C">
        <w:rPr>
          <w:rFonts w:ascii="Arial" w:hAnsi="Arial" w:cs="Arial"/>
        </w:rPr>
        <w:t xml:space="preserve">собствовало развитию в республике более 500 </w:t>
      </w:r>
      <w:proofErr w:type="gramStart"/>
      <w:r w:rsidRPr="00814F5C">
        <w:rPr>
          <w:rFonts w:ascii="Arial" w:hAnsi="Arial" w:cs="Arial"/>
        </w:rPr>
        <w:t>интернет-магазинов</w:t>
      </w:r>
      <w:proofErr w:type="gramEnd"/>
      <w:r w:rsidRPr="00814F5C">
        <w:rPr>
          <w:rFonts w:ascii="Arial" w:hAnsi="Arial" w:cs="Arial"/>
        </w:rPr>
        <w:t>, развитию услуги по доставке товаров на дом (более 150 пунктов выдачи интернет-магазинов). В о</w:t>
      </w:r>
      <w:r w:rsidRPr="00814F5C">
        <w:rPr>
          <w:rFonts w:ascii="Arial" w:hAnsi="Arial" w:cs="Arial"/>
          <w:iCs/>
        </w:rPr>
        <w:t>рганизациях розни</w:t>
      </w:r>
      <w:r w:rsidRPr="00814F5C">
        <w:rPr>
          <w:rFonts w:ascii="Arial" w:hAnsi="Arial" w:cs="Arial"/>
          <w:iCs/>
        </w:rPr>
        <w:t>ч</w:t>
      </w:r>
      <w:r w:rsidRPr="00814F5C">
        <w:rPr>
          <w:rFonts w:ascii="Arial" w:hAnsi="Arial" w:cs="Arial"/>
          <w:iCs/>
        </w:rPr>
        <w:t xml:space="preserve">ной торговли продолжается работа по </w:t>
      </w:r>
      <w:r w:rsidRPr="00814F5C">
        <w:rPr>
          <w:rFonts w:ascii="Arial" w:hAnsi="Arial" w:cs="Arial"/>
          <w:iCs/>
        </w:rPr>
        <w:br/>
        <w:t>привлечению покупателей путем проведения таких</w:t>
      </w:r>
      <w:r w:rsidRPr="00814F5C">
        <w:rPr>
          <w:rFonts w:ascii="Arial" w:hAnsi="Arial" w:cs="Arial"/>
        </w:rPr>
        <w:t xml:space="preserve"> форм торговли, как</w:t>
      </w:r>
      <w:r w:rsidRPr="00814F5C">
        <w:rPr>
          <w:rFonts w:ascii="Arial" w:hAnsi="Arial" w:cs="Arial"/>
        </w:rPr>
        <w:br/>
        <w:t>распродажи, скидки, акции.</w:t>
      </w:r>
    </w:p>
    <w:p w:rsidR="003E01B7" w:rsidRPr="00814F5C" w:rsidRDefault="003E01B7" w:rsidP="003E01B7">
      <w:pPr>
        <w:ind w:firstLine="709"/>
        <w:contextualSpacing/>
        <w:jc w:val="both"/>
        <w:rPr>
          <w:rFonts w:ascii="Arial" w:hAnsi="Arial" w:cs="Arial"/>
        </w:rPr>
      </w:pPr>
      <w:r w:rsidRPr="00814F5C">
        <w:rPr>
          <w:rFonts w:ascii="Arial" w:hAnsi="Arial" w:cs="Arial"/>
        </w:rPr>
        <w:t>Все больше в магазинах появляется продукция мес</w:t>
      </w:r>
      <w:r w:rsidRPr="00814F5C">
        <w:rPr>
          <w:rFonts w:ascii="Arial" w:hAnsi="Arial" w:cs="Arial"/>
        </w:rPr>
        <w:t>т</w:t>
      </w:r>
      <w:r w:rsidRPr="00814F5C">
        <w:rPr>
          <w:rFonts w:ascii="Arial" w:hAnsi="Arial" w:cs="Arial"/>
        </w:rPr>
        <w:t xml:space="preserve">ных </w:t>
      </w:r>
      <w:r w:rsidRPr="00814F5C">
        <w:rPr>
          <w:rFonts w:ascii="Arial" w:hAnsi="Arial" w:cs="Arial"/>
        </w:rPr>
        <w:br/>
        <w:t>товаропроизводителей, экологически чистых и пользующи</w:t>
      </w:r>
      <w:r w:rsidRPr="00814F5C">
        <w:rPr>
          <w:rFonts w:ascii="Arial" w:hAnsi="Arial" w:cs="Arial"/>
        </w:rPr>
        <w:t>х</w:t>
      </w:r>
      <w:r w:rsidRPr="00814F5C">
        <w:rPr>
          <w:rFonts w:ascii="Arial" w:hAnsi="Arial" w:cs="Arial"/>
        </w:rPr>
        <w:t xml:space="preserve">ся спросом у </w:t>
      </w:r>
      <w:r w:rsidRPr="00814F5C">
        <w:rPr>
          <w:rFonts w:ascii="Arial" w:hAnsi="Arial" w:cs="Arial"/>
        </w:rPr>
        <w:br/>
        <w:t xml:space="preserve">населения. Этому способствует активное взаимодействие органов </w:t>
      </w:r>
      <w:r w:rsidRPr="00814F5C">
        <w:rPr>
          <w:rFonts w:ascii="Arial" w:hAnsi="Arial" w:cs="Arial"/>
        </w:rPr>
        <w:br/>
        <w:t>государственной власти с производственными и торгующими организациями. Д</w:t>
      </w:r>
      <w:r w:rsidRPr="00814F5C">
        <w:rPr>
          <w:rFonts w:ascii="Arial" w:hAnsi="Arial" w:cs="Arial"/>
        </w:rPr>
        <w:t>о</w:t>
      </w:r>
      <w:r w:rsidRPr="00814F5C">
        <w:rPr>
          <w:rFonts w:ascii="Arial" w:hAnsi="Arial" w:cs="Arial"/>
        </w:rPr>
        <w:t>ля представленности в торговых объектах товаров местных товаропроизводит</w:t>
      </w:r>
      <w:r w:rsidRPr="00814F5C">
        <w:rPr>
          <w:rFonts w:ascii="Arial" w:hAnsi="Arial" w:cs="Arial"/>
        </w:rPr>
        <w:t>е</w:t>
      </w:r>
      <w:r w:rsidRPr="00814F5C">
        <w:rPr>
          <w:rFonts w:ascii="Arial" w:hAnsi="Arial" w:cs="Arial"/>
        </w:rPr>
        <w:t>лей в группах товаров, таких как молоко, хлеб, колбасы, яйца, птица, овощи, ко</w:t>
      </w:r>
      <w:r w:rsidRPr="00814F5C">
        <w:rPr>
          <w:rFonts w:ascii="Arial" w:hAnsi="Arial" w:cs="Arial"/>
        </w:rPr>
        <w:t>н</w:t>
      </w:r>
      <w:r w:rsidRPr="00814F5C">
        <w:rPr>
          <w:rFonts w:ascii="Arial" w:hAnsi="Arial" w:cs="Arial"/>
        </w:rPr>
        <w:t>дитерские изделия, алкогольная продукция составила в 1 полугодии 2023 г. в Ч</w:t>
      </w:r>
      <w:r w:rsidRPr="00814F5C">
        <w:rPr>
          <w:rFonts w:ascii="Arial" w:hAnsi="Arial" w:cs="Arial"/>
        </w:rPr>
        <w:t>у</w:t>
      </w:r>
      <w:r w:rsidRPr="00814F5C">
        <w:rPr>
          <w:rFonts w:ascii="Arial" w:hAnsi="Arial" w:cs="Arial"/>
        </w:rPr>
        <w:t>вашии 66,1% (в 2022 г. - 65,8%).</w:t>
      </w:r>
    </w:p>
    <w:p w:rsidR="009E2F20" w:rsidRPr="00814F5C" w:rsidRDefault="009E2F20" w:rsidP="009E2F20">
      <w:pPr>
        <w:ind w:firstLine="709"/>
        <w:contextualSpacing/>
        <w:jc w:val="both"/>
        <w:rPr>
          <w:rFonts w:ascii="Arial" w:hAnsi="Arial" w:cs="Arial"/>
          <w:iCs/>
        </w:rPr>
      </w:pPr>
      <w:r w:rsidRPr="00814F5C">
        <w:rPr>
          <w:rFonts w:ascii="Arial" w:hAnsi="Arial" w:cs="Arial"/>
          <w:iCs/>
        </w:rPr>
        <w:t xml:space="preserve">За 1 </w:t>
      </w:r>
      <w:r w:rsidRPr="00814F5C">
        <w:rPr>
          <w:rFonts w:ascii="Arial" w:hAnsi="Arial" w:cs="Arial"/>
          <w:iCs/>
        </w:rPr>
        <w:t>полугодие</w:t>
      </w:r>
      <w:r w:rsidRPr="00814F5C">
        <w:rPr>
          <w:rFonts w:ascii="Arial" w:hAnsi="Arial" w:cs="Arial"/>
          <w:iCs/>
        </w:rPr>
        <w:t xml:space="preserve"> 2023 г. проведено </w:t>
      </w:r>
      <w:r w:rsidRPr="00814F5C">
        <w:rPr>
          <w:rFonts w:ascii="Arial" w:hAnsi="Arial" w:cs="Arial"/>
          <w:iCs/>
        </w:rPr>
        <w:t>8</w:t>
      </w:r>
      <w:r w:rsidRPr="00814F5C">
        <w:rPr>
          <w:rFonts w:ascii="Arial" w:hAnsi="Arial" w:cs="Arial"/>
          <w:iCs/>
        </w:rPr>
        <w:t xml:space="preserve"> совещаний и семинаров по вопросам развития сферы потребительского рынка, защиты прав потребителей, организ</w:t>
      </w:r>
      <w:r w:rsidRPr="00814F5C">
        <w:rPr>
          <w:rFonts w:ascii="Arial" w:hAnsi="Arial" w:cs="Arial"/>
          <w:iCs/>
        </w:rPr>
        <w:t>а</w:t>
      </w:r>
      <w:r w:rsidRPr="00814F5C">
        <w:rPr>
          <w:rFonts w:ascii="Arial" w:hAnsi="Arial" w:cs="Arial"/>
          <w:iCs/>
        </w:rPr>
        <w:t xml:space="preserve">ции маркировки товаров, </w:t>
      </w:r>
      <w:proofErr w:type="spellStart"/>
      <w:r w:rsidRPr="00814F5C">
        <w:rPr>
          <w:rFonts w:ascii="Arial" w:hAnsi="Arial" w:cs="Arial"/>
          <w:iCs/>
        </w:rPr>
        <w:t>брендирования</w:t>
      </w:r>
      <w:proofErr w:type="spellEnd"/>
      <w:r w:rsidRPr="00814F5C">
        <w:rPr>
          <w:rFonts w:ascii="Arial" w:hAnsi="Arial" w:cs="Arial"/>
          <w:iCs/>
        </w:rPr>
        <w:t xml:space="preserve"> местной продукции. Проведена закупо</w:t>
      </w:r>
      <w:r w:rsidRPr="00814F5C">
        <w:rPr>
          <w:rFonts w:ascii="Arial" w:hAnsi="Arial" w:cs="Arial"/>
          <w:iCs/>
        </w:rPr>
        <w:t>ч</w:t>
      </w:r>
      <w:r w:rsidRPr="00814F5C">
        <w:rPr>
          <w:rFonts w:ascii="Arial" w:hAnsi="Arial" w:cs="Arial"/>
          <w:iCs/>
        </w:rPr>
        <w:t>ная сессия с торговыми организациями город</w:t>
      </w:r>
      <w:r w:rsidRPr="00814F5C">
        <w:rPr>
          <w:rFonts w:ascii="Arial" w:hAnsi="Arial" w:cs="Arial"/>
          <w:iCs/>
        </w:rPr>
        <w:t>ов</w:t>
      </w:r>
      <w:r w:rsidRPr="00814F5C">
        <w:rPr>
          <w:rFonts w:ascii="Arial" w:hAnsi="Arial" w:cs="Arial"/>
          <w:iCs/>
        </w:rPr>
        <w:t xml:space="preserve"> Алатырь</w:t>
      </w:r>
      <w:r w:rsidRPr="00814F5C">
        <w:rPr>
          <w:rFonts w:ascii="Arial" w:hAnsi="Arial" w:cs="Arial"/>
          <w:iCs/>
        </w:rPr>
        <w:t>, Канаш</w:t>
      </w:r>
      <w:r w:rsidRPr="00814F5C">
        <w:rPr>
          <w:rFonts w:ascii="Arial" w:hAnsi="Arial" w:cs="Arial"/>
          <w:iCs/>
        </w:rPr>
        <w:t xml:space="preserve"> и товаропрои</w:t>
      </w:r>
      <w:r w:rsidRPr="00814F5C">
        <w:rPr>
          <w:rFonts w:ascii="Arial" w:hAnsi="Arial" w:cs="Arial"/>
          <w:iCs/>
        </w:rPr>
        <w:t>з</w:t>
      </w:r>
      <w:r w:rsidRPr="00814F5C">
        <w:rPr>
          <w:rFonts w:ascii="Arial" w:hAnsi="Arial" w:cs="Arial"/>
          <w:iCs/>
        </w:rPr>
        <w:t>водителями республ</w:t>
      </w:r>
      <w:r w:rsidRPr="00814F5C">
        <w:rPr>
          <w:rFonts w:ascii="Arial" w:hAnsi="Arial" w:cs="Arial"/>
          <w:iCs/>
        </w:rPr>
        <w:t>и</w:t>
      </w:r>
      <w:r w:rsidRPr="00814F5C">
        <w:rPr>
          <w:rFonts w:ascii="Arial" w:hAnsi="Arial" w:cs="Arial"/>
          <w:iCs/>
        </w:rPr>
        <w:t>ки.</w:t>
      </w:r>
    </w:p>
    <w:p w:rsidR="009E2F20" w:rsidRPr="00814F5C" w:rsidRDefault="009E2F20" w:rsidP="009E2F20">
      <w:pPr>
        <w:ind w:firstLine="709"/>
        <w:contextualSpacing/>
        <w:jc w:val="both"/>
        <w:rPr>
          <w:rFonts w:ascii="Arial" w:hAnsi="Arial" w:cs="Arial"/>
        </w:rPr>
      </w:pPr>
      <w:r w:rsidRPr="00814F5C">
        <w:rPr>
          <w:rFonts w:ascii="Arial" w:hAnsi="Arial" w:cs="Arial"/>
        </w:rPr>
        <w:t>В рамках реализации принятых решений по защите прав потребителей в 380 общеобразовательных организациях Чувашской Респу</w:t>
      </w:r>
      <w:r w:rsidRPr="00814F5C">
        <w:rPr>
          <w:rFonts w:ascii="Arial" w:hAnsi="Arial" w:cs="Arial"/>
        </w:rPr>
        <w:t>б</w:t>
      </w:r>
      <w:r w:rsidRPr="00814F5C">
        <w:rPr>
          <w:rFonts w:ascii="Arial" w:hAnsi="Arial" w:cs="Arial"/>
        </w:rPr>
        <w:t>лики с охватом более 140 тыс. детей были организованы и проведены клас</w:t>
      </w:r>
      <w:r w:rsidRPr="00814F5C">
        <w:rPr>
          <w:rFonts w:ascii="Arial" w:hAnsi="Arial" w:cs="Arial"/>
        </w:rPr>
        <w:t>с</w:t>
      </w:r>
      <w:r w:rsidRPr="00814F5C">
        <w:rPr>
          <w:rFonts w:ascii="Arial" w:hAnsi="Arial" w:cs="Arial"/>
        </w:rPr>
        <w:t>ные часы, «круглые столы», организованы выставки в рамках празднования Всемирного дня прав потребит</w:t>
      </w:r>
      <w:r w:rsidRPr="00814F5C">
        <w:rPr>
          <w:rFonts w:ascii="Arial" w:hAnsi="Arial" w:cs="Arial"/>
        </w:rPr>
        <w:t>е</w:t>
      </w:r>
      <w:r w:rsidRPr="00814F5C">
        <w:rPr>
          <w:rFonts w:ascii="Arial" w:hAnsi="Arial" w:cs="Arial"/>
        </w:rPr>
        <w:t>лей, на сайтах общеобразовательных организациях размещены и</w:t>
      </w:r>
      <w:r w:rsidRPr="00814F5C">
        <w:rPr>
          <w:rFonts w:ascii="Arial" w:hAnsi="Arial" w:cs="Arial"/>
        </w:rPr>
        <w:t>н</w:t>
      </w:r>
      <w:r w:rsidRPr="00814F5C">
        <w:rPr>
          <w:rFonts w:ascii="Arial" w:hAnsi="Arial" w:cs="Arial"/>
        </w:rPr>
        <w:t>формации о проведенных мероприятиях.</w:t>
      </w:r>
    </w:p>
    <w:p w:rsidR="009E2F20" w:rsidRPr="00814F5C" w:rsidRDefault="009E2F20" w:rsidP="009E2F20">
      <w:pPr>
        <w:ind w:firstLine="709"/>
        <w:contextualSpacing/>
        <w:jc w:val="both"/>
        <w:rPr>
          <w:rFonts w:ascii="Arial" w:hAnsi="Arial" w:cs="Arial"/>
        </w:rPr>
      </w:pPr>
      <w:r w:rsidRPr="00814F5C">
        <w:rPr>
          <w:rFonts w:ascii="Arial" w:hAnsi="Arial" w:cs="Arial"/>
        </w:rPr>
        <w:t>Во всех муниципальных и городских округах Чувашской Республики были утверждены планы мероприятий по проведению Всемирного дня защиты прав п</w:t>
      </w:r>
      <w:r w:rsidRPr="00814F5C">
        <w:rPr>
          <w:rFonts w:ascii="Arial" w:hAnsi="Arial" w:cs="Arial"/>
        </w:rPr>
        <w:t>о</w:t>
      </w:r>
      <w:r w:rsidRPr="00814F5C">
        <w:rPr>
          <w:rFonts w:ascii="Arial" w:hAnsi="Arial" w:cs="Arial"/>
        </w:rPr>
        <w:t xml:space="preserve">требителей. </w:t>
      </w:r>
      <w:proofErr w:type="gramStart"/>
      <w:r w:rsidRPr="00814F5C">
        <w:rPr>
          <w:rFonts w:ascii="Arial" w:hAnsi="Arial" w:cs="Arial"/>
        </w:rPr>
        <w:t>На официальных сайтах муниципальных и городских округов респу</w:t>
      </w:r>
      <w:r w:rsidRPr="00814F5C">
        <w:rPr>
          <w:rFonts w:ascii="Arial" w:hAnsi="Arial" w:cs="Arial"/>
        </w:rPr>
        <w:t>б</w:t>
      </w:r>
      <w:r w:rsidRPr="00814F5C">
        <w:rPr>
          <w:rFonts w:ascii="Arial" w:hAnsi="Arial" w:cs="Arial"/>
        </w:rPr>
        <w:t>лики в сети «Интернет» размещены объявления о проведении Всемирного дня защиты прав потребителей, информационные статьи по защите прав потребит</w:t>
      </w:r>
      <w:r w:rsidRPr="00814F5C">
        <w:rPr>
          <w:rFonts w:ascii="Arial" w:hAnsi="Arial" w:cs="Arial"/>
        </w:rPr>
        <w:t>е</w:t>
      </w:r>
      <w:r w:rsidRPr="00814F5C">
        <w:rPr>
          <w:rFonts w:ascii="Arial" w:hAnsi="Arial" w:cs="Arial"/>
        </w:rPr>
        <w:t>лей,  проведены тематические консультации, телефонные «горячие линии» по в</w:t>
      </w:r>
      <w:r w:rsidRPr="00814F5C">
        <w:rPr>
          <w:rFonts w:ascii="Arial" w:hAnsi="Arial" w:cs="Arial"/>
        </w:rPr>
        <w:t>о</w:t>
      </w:r>
      <w:r w:rsidRPr="00814F5C">
        <w:rPr>
          <w:rFonts w:ascii="Arial" w:hAnsi="Arial" w:cs="Arial"/>
        </w:rPr>
        <w:t>просам защиты прав потребителей и «кру</w:t>
      </w:r>
      <w:r w:rsidRPr="00814F5C">
        <w:rPr>
          <w:rFonts w:ascii="Arial" w:hAnsi="Arial" w:cs="Arial"/>
        </w:rPr>
        <w:t>г</w:t>
      </w:r>
      <w:r w:rsidRPr="00814F5C">
        <w:rPr>
          <w:rFonts w:ascii="Arial" w:hAnsi="Arial" w:cs="Arial"/>
        </w:rPr>
        <w:t>лые столы» с участием представителей территориальных отделов Управления Роспотребнадзора по Чувашской Респу</w:t>
      </w:r>
      <w:r w:rsidRPr="00814F5C">
        <w:rPr>
          <w:rFonts w:ascii="Arial" w:hAnsi="Arial" w:cs="Arial"/>
        </w:rPr>
        <w:t>б</w:t>
      </w:r>
      <w:r w:rsidRPr="00814F5C">
        <w:rPr>
          <w:rFonts w:ascii="Arial" w:hAnsi="Arial" w:cs="Arial"/>
        </w:rPr>
        <w:t>лики – Чувашии, в которых также приняли участие индивидуальные предприним</w:t>
      </w:r>
      <w:r w:rsidRPr="00814F5C">
        <w:rPr>
          <w:rFonts w:ascii="Arial" w:hAnsi="Arial" w:cs="Arial"/>
        </w:rPr>
        <w:t>а</w:t>
      </w:r>
      <w:r w:rsidRPr="00814F5C">
        <w:rPr>
          <w:rFonts w:ascii="Arial" w:hAnsi="Arial" w:cs="Arial"/>
        </w:rPr>
        <w:t>тели и руководители</w:t>
      </w:r>
      <w:proofErr w:type="gramEnd"/>
      <w:r w:rsidRPr="00814F5C">
        <w:rPr>
          <w:rFonts w:ascii="Arial" w:hAnsi="Arial" w:cs="Arial"/>
        </w:rPr>
        <w:t xml:space="preserve"> предприятий потребительского рынка.</w:t>
      </w:r>
    </w:p>
    <w:p w:rsidR="009E2F20" w:rsidRPr="00814F5C" w:rsidRDefault="009E2F20" w:rsidP="009E2F20">
      <w:pPr>
        <w:ind w:firstLine="709"/>
        <w:contextualSpacing/>
        <w:jc w:val="both"/>
        <w:rPr>
          <w:rFonts w:ascii="Arial" w:hAnsi="Arial" w:cs="Arial"/>
        </w:rPr>
      </w:pPr>
      <w:proofErr w:type="gramStart"/>
      <w:r w:rsidRPr="00814F5C">
        <w:rPr>
          <w:rFonts w:ascii="Arial" w:hAnsi="Arial" w:cs="Arial"/>
        </w:rPr>
        <w:t>Много внимания в республике уделяется повышению квалификации и пр</w:t>
      </w:r>
      <w:r w:rsidRPr="00814F5C">
        <w:rPr>
          <w:rFonts w:ascii="Arial" w:hAnsi="Arial" w:cs="Arial"/>
        </w:rPr>
        <w:t>о</w:t>
      </w:r>
      <w:r w:rsidRPr="00814F5C">
        <w:rPr>
          <w:rFonts w:ascii="Arial" w:hAnsi="Arial" w:cs="Arial"/>
        </w:rPr>
        <w:t>фессионализма руководителей и сп</w:t>
      </w:r>
      <w:r w:rsidRPr="00814F5C">
        <w:rPr>
          <w:rFonts w:ascii="Arial" w:hAnsi="Arial" w:cs="Arial"/>
        </w:rPr>
        <w:t>е</w:t>
      </w:r>
      <w:r w:rsidRPr="00814F5C">
        <w:rPr>
          <w:rFonts w:ascii="Arial" w:hAnsi="Arial" w:cs="Arial"/>
        </w:rPr>
        <w:t xml:space="preserve">циалистов сферы торговли и общественного питания: </w:t>
      </w:r>
      <w:r w:rsidR="00581A1E" w:rsidRPr="00814F5C">
        <w:rPr>
          <w:rFonts w:ascii="Arial" w:hAnsi="Arial" w:cs="Arial"/>
        </w:rPr>
        <w:t>проведены</w:t>
      </w:r>
      <w:r w:rsidRPr="00814F5C">
        <w:rPr>
          <w:rFonts w:ascii="Arial" w:hAnsi="Arial" w:cs="Arial"/>
        </w:rPr>
        <w:t xml:space="preserve"> </w:t>
      </w:r>
      <w:r w:rsidR="00581A1E" w:rsidRPr="00814F5C">
        <w:rPr>
          <w:rFonts w:ascii="Arial" w:hAnsi="Arial" w:cs="Arial"/>
        </w:rPr>
        <w:t xml:space="preserve">республиканский </w:t>
      </w:r>
      <w:r w:rsidRPr="00814F5C">
        <w:rPr>
          <w:rFonts w:ascii="Arial" w:hAnsi="Arial" w:cs="Arial"/>
        </w:rPr>
        <w:t>конкурс «Торговля Чувашии», фестиваль национальной кухни  наро</w:t>
      </w:r>
      <w:r w:rsidR="00581A1E" w:rsidRPr="00814F5C">
        <w:rPr>
          <w:rFonts w:ascii="Arial" w:hAnsi="Arial" w:cs="Arial"/>
        </w:rPr>
        <w:t xml:space="preserve">дов Поволжья, </w:t>
      </w:r>
      <w:r w:rsidRPr="00814F5C">
        <w:rPr>
          <w:rFonts w:ascii="Arial" w:hAnsi="Arial" w:cs="Arial"/>
        </w:rPr>
        <w:t xml:space="preserve">для предпринимателей, </w:t>
      </w:r>
      <w:proofErr w:type="spellStart"/>
      <w:r w:rsidRPr="00814F5C">
        <w:rPr>
          <w:rFonts w:ascii="Arial" w:hAnsi="Arial" w:cs="Arial"/>
        </w:rPr>
        <w:t>самозан</w:t>
      </w:r>
      <w:r w:rsidRPr="00814F5C">
        <w:rPr>
          <w:rFonts w:ascii="Arial" w:hAnsi="Arial" w:cs="Arial"/>
        </w:rPr>
        <w:t>я</w:t>
      </w:r>
      <w:r w:rsidRPr="00814F5C">
        <w:rPr>
          <w:rFonts w:ascii="Arial" w:hAnsi="Arial" w:cs="Arial"/>
        </w:rPr>
        <w:t>тых</w:t>
      </w:r>
      <w:proofErr w:type="spellEnd"/>
      <w:r w:rsidRPr="00814F5C">
        <w:rPr>
          <w:rFonts w:ascii="Arial" w:hAnsi="Arial" w:cs="Arial"/>
        </w:rPr>
        <w:t xml:space="preserve"> и физических лиц, планирующих начать предпринимательскую деятельность, пр</w:t>
      </w:r>
      <w:r w:rsidRPr="00814F5C">
        <w:rPr>
          <w:rFonts w:ascii="Arial" w:hAnsi="Arial" w:cs="Arial"/>
        </w:rPr>
        <w:t>о</w:t>
      </w:r>
      <w:r w:rsidRPr="00814F5C">
        <w:rPr>
          <w:rFonts w:ascii="Arial" w:hAnsi="Arial" w:cs="Arial"/>
        </w:rPr>
        <w:t xml:space="preserve">веден очный семинар «Механизмы подключения чувашских производителей к </w:t>
      </w:r>
      <w:proofErr w:type="spellStart"/>
      <w:r w:rsidRPr="00814F5C">
        <w:rPr>
          <w:rFonts w:ascii="Arial" w:hAnsi="Arial" w:cs="Arial"/>
        </w:rPr>
        <w:t>маркетплейсам</w:t>
      </w:r>
      <w:proofErr w:type="spellEnd"/>
      <w:r w:rsidRPr="00814F5C">
        <w:rPr>
          <w:rFonts w:ascii="Arial" w:hAnsi="Arial" w:cs="Arial"/>
        </w:rPr>
        <w:t>», организованы курсы повышения квалификации на базе образ</w:t>
      </w:r>
      <w:r w:rsidRPr="00814F5C">
        <w:rPr>
          <w:rFonts w:ascii="Arial" w:hAnsi="Arial" w:cs="Arial"/>
        </w:rPr>
        <w:t>о</w:t>
      </w:r>
      <w:r w:rsidRPr="00814F5C">
        <w:rPr>
          <w:rFonts w:ascii="Arial" w:hAnsi="Arial" w:cs="Arial"/>
        </w:rPr>
        <w:t>вательных орган</w:t>
      </w:r>
      <w:r w:rsidRPr="00814F5C">
        <w:rPr>
          <w:rFonts w:ascii="Arial" w:hAnsi="Arial" w:cs="Arial"/>
        </w:rPr>
        <w:t>и</w:t>
      </w:r>
      <w:r w:rsidRPr="00814F5C">
        <w:rPr>
          <w:rFonts w:ascii="Arial" w:hAnsi="Arial" w:cs="Arial"/>
        </w:rPr>
        <w:t>заций.</w:t>
      </w:r>
      <w:proofErr w:type="gramEnd"/>
    </w:p>
    <w:p w:rsidR="009E2F20" w:rsidRPr="00814F5C" w:rsidRDefault="009E2F20" w:rsidP="009E2F20">
      <w:pPr>
        <w:ind w:firstLine="709"/>
        <w:contextualSpacing/>
        <w:jc w:val="both"/>
        <w:rPr>
          <w:rFonts w:ascii="Arial" w:hAnsi="Arial" w:cs="Arial"/>
        </w:rPr>
      </w:pPr>
    </w:p>
    <w:p w:rsidR="001C55C0" w:rsidRDefault="003E01B7" w:rsidP="003E01B7">
      <w:pPr>
        <w:ind w:firstLine="709"/>
        <w:contextualSpacing/>
        <w:jc w:val="both"/>
        <w:rPr>
          <w:rFonts w:ascii="Arial" w:hAnsi="Arial" w:cs="Arial"/>
        </w:rPr>
      </w:pPr>
      <w:r w:rsidRPr="00814F5C">
        <w:rPr>
          <w:rFonts w:ascii="Arial" w:hAnsi="Arial" w:cs="Arial"/>
        </w:rPr>
        <w:lastRenderedPageBreak/>
        <w:t>С целью популяризации региона в информационном пространстве в тек</w:t>
      </w:r>
      <w:r w:rsidRPr="00814F5C">
        <w:rPr>
          <w:rFonts w:ascii="Arial" w:hAnsi="Arial" w:cs="Arial"/>
        </w:rPr>
        <w:t>у</w:t>
      </w:r>
      <w:r w:rsidRPr="00814F5C">
        <w:rPr>
          <w:rFonts w:ascii="Arial" w:hAnsi="Arial" w:cs="Arial"/>
        </w:rPr>
        <w:t>щем году были сняты 2 передачи о культуре и кухне Чувашской Республики: Пе</w:t>
      </w:r>
      <w:r w:rsidRPr="00814F5C">
        <w:rPr>
          <w:rFonts w:ascii="Arial" w:hAnsi="Arial" w:cs="Arial"/>
        </w:rPr>
        <w:t>р</w:t>
      </w:r>
      <w:r w:rsidRPr="00814F5C">
        <w:rPr>
          <w:rFonts w:ascii="Arial" w:hAnsi="Arial" w:cs="Arial"/>
        </w:rPr>
        <w:t xml:space="preserve">вым каналом снята передача «Повара на колесах», телеканалом </w:t>
      </w:r>
      <w:r w:rsidR="00581A1E" w:rsidRPr="00814F5C">
        <w:rPr>
          <w:rFonts w:ascii="Arial" w:hAnsi="Arial" w:cs="Arial"/>
        </w:rPr>
        <w:t>«</w:t>
      </w:r>
      <w:r w:rsidRPr="00814F5C">
        <w:rPr>
          <w:rFonts w:ascii="Arial" w:hAnsi="Arial" w:cs="Arial"/>
        </w:rPr>
        <w:t>Пятница</w:t>
      </w:r>
      <w:r w:rsidR="00581A1E" w:rsidRPr="00814F5C">
        <w:rPr>
          <w:rFonts w:ascii="Arial" w:hAnsi="Arial" w:cs="Arial"/>
        </w:rPr>
        <w:t>»</w:t>
      </w:r>
      <w:r w:rsidRPr="00814F5C">
        <w:rPr>
          <w:rFonts w:ascii="Arial" w:hAnsi="Arial" w:cs="Arial"/>
        </w:rPr>
        <w:t xml:space="preserve"> снята передача «</w:t>
      </w:r>
      <w:proofErr w:type="spellStart"/>
      <w:r w:rsidRPr="00814F5C">
        <w:rPr>
          <w:rFonts w:ascii="Arial" w:hAnsi="Arial" w:cs="Arial"/>
        </w:rPr>
        <w:t>Гастротур</w:t>
      </w:r>
      <w:proofErr w:type="spellEnd"/>
      <w:r w:rsidRPr="00814F5C">
        <w:rPr>
          <w:rFonts w:ascii="Arial" w:hAnsi="Arial" w:cs="Arial"/>
        </w:rPr>
        <w:t>».</w:t>
      </w:r>
    </w:p>
    <w:sectPr w:rsidR="001C55C0" w:rsidSect="007241D1">
      <w:headerReference w:type="even" r:id="rId18"/>
      <w:headerReference w:type="default" r:id="rId19"/>
      <w:pgSz w:w="11906" w:h="16838"/>
      <w:pgMar w:top="1134" w:right="851" w:bottom="851" w:left="1701" w:header="709" w:footer="709" w:gutter="0"/>
      <w:pgNumType w:start="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FEB" w:rsidRDefault="00EF6FEB">
      <w:r>
        <w:separator/>
      </w:r>
    </w:p>
  </w:endnote>
  <w:endnote w:type="continuationSeparator" w:id="0">
    <w:p w:rsidR="00EF6FEB" w:rsidRDefault="00EF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Roboto">
    <w:altName w:val="Times New Roman"/>
    <w:charset w:val="00"/>
    <w:family w:val="auto"/>
    <w:pitch w:val="variable"/>
    <w:sig w:usb0="E00002FF" w:usb1="5000205B" w:usb2="00000020" w:usb3="00000000" w:csb0="0000019F" w:csb1="00000000"/>
  </w:font>
  <w:font w:name="Segoe UI Black">
    <w:panose1 w:val="020B0A02040204020203"/>
    <w:charset w:val="CC"/>
    <w:family w:val="swiss"/>
    <w:pitch w:val="variable"/>
    <w:sig w:usb0="E00002FF" w:usb1="4000E47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FEB" w:rsidRDefault="00EF6FEB">
      <w:r>
        <w:separator/>
      </w:r>
    </w:p>
  </w:footnote>
  <w:footnote w:type="continuationSeparator" w:id="0">
    <w:p w:rsidR="00EF6FEB" w:rsidRDefault="00EF6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593" w:rsidRDefault="00F42593">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42593" w:rsidRDefault="00F4259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593" w:rsidRPr="000F02AC" w:rsidRDefault="00F42593">
    <w:pPr>
      <w:pStyle w:val="ab"/>
      <w:framePr w:wrap="around" w:vAnchor="text" w:hAnchor="margin" w:xAlign="center" w:y="1"/>
      <w:rPr>
        <w:rStyle w:val="ae"/>
        <w:rFonts w:ascii="Arial" w:hAnsi="Arial" w:cs="Arial"/>
        <w:sz w:val="22"/>
        <w:szCs w:val="22"/>
      </w:rPr>
    </w:pPr>
    <w:r w:rsidRPr="000F02AC">
      <w:rPr>
        <w:rStyle w:val="ae"/>
        <w:rFonts w:ascii="Arial" w:hAnsi="Arial" w:cs="Arial"/>
        <w:sz w:val="22"/>
        <w:szCs w:val="22"/>
      </w:rPr>
      <w:fldChar w:fldCharType="begin"/>
    </w:r>
    <w:r w:rsidRPr="000F02AC">
      <w:rPr>
        <w:rStyle w:val="ae"/>
        <w:rFonts w:ascii="Arial" w:hAnsi="Arial" w:cs="Arial"/>
        <w:sz w:val="22"/>
        <w:szCs w:val="22"/>
      </w:rPr>
      <w:instrText xml:space="preserve">PAGE  </w:instrText>
    </w:r>
    <w:r w:rsidRPr="000F02AC">
      <w:rPr>
        <w:rStyle w:val="ae"/>
        <w:rFonts w:ascii="Arial" w:hAnsi="Arial" w:cs="Arial"/>
        <w:sz w:val="22"/>
        <w:szCs w:val="22"/>
      </w:rPr>
      <w:fldChar w:fldCharType="separate"/>
    </w:r>
    <w:r w:rsidR="00814F5C">
      <w:rPr>
        <w:rStyle w:val="ae"/>
        <w:rFonts w:ascii="Arial" w:hAnsi="Arial" w:cs="Arial"/>
        <w:noProof/>
        <w:sz w:val="22"/>
        <w:szCs w:val="22"/>
      </w:rPr>
      <w:t>26</w:t>
    </w:r>
    <w:r w:rsidRPr="000F02AC">
      <w:rPr>
        <w:rStyle w:val="ae"/>
        <w:rFonts w:ascii="Arial" w:hAnsi="Arial" w:cs="Arial"/>
        <w:sz w:val="22"/>
        <w:szCs w:val="22"/>
      </w:rPr>
      <w:fldChar w:fldCharType="end"/>
    </w:r>
  </w:p>
  <w:p w:rsidR="00F42593" w:rsidRDefault="00F42593">
    <w:pPr>
      <w:pStyle w:val="ab"/>
    </w:pPr>
  </w:p>
  <w:p w:rsidR="00F42593" w:rsidRDefault="00F4259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1910"/>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
    <w:nsid w:val="0B197D10"/>
    <w:multiLevelType w:val="hybridMultilevel"/>
    <w:tmpl w:val="3D4878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C942A8C"/>
    <w:multiLevelType w:val="hybridMultilevel"/>
    <w:tmpl w:val="D64221F4"/>
    <w:lvl w:ilvl="0" w:tplc="04190001">
      <w:start w:val="1"/>
      <w:numFmt w:val="bullet"/>
      <w:lvlText w:val=""/>
      <w:lvlJc w:val="left"/>
      <w:pPr>
        <w:tabs>
          <w:tab w:val="num" w:pos="1632"/>
        </w:tabs>
        <w:ind w:left="1632" w:hanging="360"/>
      </w:pPr>
      <w:rPr>
        <w:rFonts w:ascii="Symbol" w:hAnsi="Symbol" w:hint="default"/>
      </w:rPr>
    </w:lvl>
    <w:lvl w:ilvl="1" w:tplc="04190003" w:tentative="1">
      <w:start w:val="1"/>
      <w:numFmt w:val="bullet"/>
      <w:lvlText w:val="o"/>
      <w:lvlJc w:val="left"/>
      <w:pPr>
        <w:tabs>
          <w:tab w:val="num" w:pos="2352"/>
        </w:tabs>
        <w:ind w:left="2352" w:hanging="360"/>
      </w:pPr>
      <w:rPr>
        <w:rFonts w:ascii="Courier New" w:hAnsi="Courier New" w:cs="Courier New" w:hint="default"/>
      </w:rPr>
    </w:lvl>
    <w:lvl w:ilvl="2" w:tplc="04190005" w:tentative="1">
      <w:start w:val="1"/>
      <w:numFmt w:val="bullet"/>
      <w:lvlText w:val=""/>
      <w:lvlJc w:val="left"/>
      <w:pPr>
        <w:tabs>
          <w:tab w:val="num" w:pos="3072"/>
        </w:tabs>
        <w:ind w:left="3072" w:hanging="360"/>
      </w:pPr>
      <w:rPr>
        <w:rFonts w:ascii="Wingdings" w:hAnsi="Wingdings" w:hint="default"/>
      </w:rPr>
    </w:lvl>
    <w:lvl w:ilvl="3" w:tplc="04190001" w:tentative="1">
      <w:start w:val="1"/>
      <w:numFmt w:val="bullet"/>
      <w:lvlText w:val=""/>
      <w:lvlJc w:val="left"/>
      <w:pPr>
        <w:tabs>
          <w:tab w:val="num" w:pos="3792"/>
        </w:tabs>
        <w:ind w:left="3792" w:hanging="360"/>
      </w:pPr>
      <w:rPr>
        <w:rFonts w:ascii="Symbol" w:hAnsi="Symbol" w:hint="default"/>
      </w:rPr>
    </w:lvl>
    <w:lvl w:ilvl="4" w:tplc="04190003" w:tentative="1">
      <w:start w:val="1"/>
      <w:numFmt w:val="bullet"/>
      <w:lvlText w:val="o"/>
      <w:lvlJc w:val="left"/>
      <w:pPr>
        <w:tabs>
          <w:tab w:val="num" w:pos="4512"/>
        </w:tabs>
        <w:ind w:left="4512" w:hanging="360"/>
      </w:pPr>
      <w:rPr>
        <w:rFonts w:ascii="Courier New" w:hAnsi="Courier New" w:cs="Courier New" w:hint="default"/>
      </w:rPr>
    </w:lvl>
    <w:lvl w:ilvl="5" w:tplc="04190005" w:tentative="1">
      <w:start w:val="1"/>
      <w:numFmt w:val="bullet"/>
      <w:lvlText w:val=""/>
      <w:lvlJc w:val="left"/>
      <w:pPr>
        <w:tabs>
          <w:tab w:val="num" w:pos="5232"/>
        </w:tabs>
        <w:ind w:left="5232" w:hanging="360"/>
      </w:pPr>
      <w:rPr>
        <w:rFonts w:ascii="Wingdings" w:hAnsi="Wingdings" w:hint="default"/>
      </w:rPr>
    </w:lvl>
    <w:lvl w:ilvl="6" w:tplc="04190001" w:tentative="1">
      <w:start w:val="1"/>
      <w:numFmt w:val="bullet"/>
      <w:lvlText w:val=""/>
      <w:lvlJc w:val="left"/>
      <w:pPr>
        <w:tabs>
          <w:tab w:val="num" w:pos="5952"/>
        </w:tabs>
        <w:ind w:left="5952" w:hanging="360"/>
      </w:pPr>
      <w:rPr>
        <w:rFonts w:ascii="Symbol" w:hAnsi="Symbol" w:hint="default"/>
      </w:rPr>
    </w:lvl>
    <w:lvl w:ilvl="7" w:tplc="04190003" w:tentative="1">
      <w:start w:val="1"/>
      <w:numFmt w:val="bullet"/>
      <w:lvlText w:val="o"/>
      <w:lvlJc w:val="left"/>
      <w:pPr>
        <w:tabs>
          <w:tab w:val="num" w:pos="6672"/>
        </w:tabs>
        <w:ind w:left="6672" w:hanging="360"/>
      </w:pPr>
      <w:rPr>
        <w:rFonts w:ascii="Courier New" w:hAnsi="Courier New" w:cs="Courier New" w:hint="default"/>
      </w:rPr>
    </w:lvl>
    <w:lvl w:ilvl="8" w:tplc="04190005" w:tentative="1">
      <w:start w:val="1"/>
      <w:numFmt w:val="bullet"/>
      <w:lvlText w:val=""/>
      <w:lvlJc w:val="left"/>
      <w:pPr>
        <w:tabs>
          <w:tab w:val="num" w:pos="7392"/>
        </w:tabs>
        <w:ind w:left="7392" w:hanging="360"/>
      </w:pPr>
      <w:rPr>
        <w:rFonts w:ascii="Wingdings" w:hAnsi="Wingdings" w:hint="default"/>
      </w:rPr>
    </w:lvl>
  </w:abstractNum>
  <w:abstractNum w:abstractNumId="3">
    <w:nsid w:val="0CE25C77"/>
    <w:multiLevelType w:val="hybridMultilevel"/>
    <w:tmpl w:val="8F064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9670EF"/>
    <w:multiLevelType w:val="hybridMultilevel"/>
    <w:tmpl w:val="B66CFE1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2B722F3"/>
    <w:multiLevelType w:val="hybridMultilevel"/>
    <w:tmpl w:val="14A2CAF4"/>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6">
    <w:nsid w:val="12D10493"/>
    <w:multiLevelType w:val="hybridMultilevel"/>
    <w:tmpl w:val="3780775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6E90D1D"/>
    <w:multiLevelType w:val="hybridMultilevel"/>
    <w:tmpl w:val="93F0EDBE"/>
    <w:lvl w:ilvl="0" w:tplc="04190001">
      <w:start w:val="1"/>
      <w:numFmt w:val="bullet"/>
      <w:lvlText w:val=""/>
      <w:lvlJc w:val="left"/>
      <w:pPr>
        <w:tabs>
          <w:tab w:val="num" w:pos="1404"/>
        </w:tabs>
        <w:ind w:left="140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8">
    <w:nsid w:val="17E72E26"/>
    <w:multiLevelType w:val="hybridMultilevel"/>
    <w:tmpl w:val="56E4D20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8994E23"/>
    <w:multiLevelType w:val="hybridMultilevel"/>
    <w:tmpl w:val="AAC6FA54"/>
    <w:lvl w:ilvl="0" w:tplc="2EA26EB4">
      <w:start w:val="1"/>
      <w:numFmt w:val="bullet"/>
      <w:lvlText w:val=""/>
      <w:lvlJc w:val="left"/>
      <w:pPr>
        <w:tabs>
          <w:tab w:val="num" w:pos="5039"/>
        </w:tabs>
        <w:ind w:left="503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B041D5E"/>
    <w:multiLevelType w:val="hybridMultilevel"/>
    <w:tmpl w:val="AE7A306A"/>
    <w:lvl w:ilvl="0" w:tplc="04190001">
      <w:start w:val="1"/>
      <w:numFmt w:val="bullet"/>
      <w:lvlText w:val=""/>
      <w:lvlJc w:val="left"/>
      <w:pPr>
        <w:tabs>
          <w:tab w:val="num" w:pos="1518"/>
        </w:tabs>
        <w:ind w:left="1518" w:hanging="360"/>
      </w:pPr>
      <w:rPr>
        <w:rFonts w:ascii="Symbol" w:hAnsi="Symbol" w:hint="default"/>
      </w:rPr>
    </w:lvl>
    <w:lvl w:ilvl="1" w:tplc="04190003">
      <w:start w:val="1"/>
      <w:numFmt w:val="bullet"/>
      <w:lvlText w:val="o"/>
      <w:lvlJc w:val="left"/>
      <w:pPr>
        <w:tabs>
          <w:tab w:val="num" w:pos="2238"/>
        </w:tabs>
        <w:ind w:left="2238" w:hanging="360"/>
      </w:pPr>
      <w:rPr>
        <w:rFonts w:ascii="Courier New" w:hAnsi="Courier New" w:hint="default"/>
      </w:rPr>
    </w:lvl>
    <w:lvl w:ilvl="2" w:tplc="04190005" w:tentative="1">
      <w:start w:val="1"/>
      <w:numFmt w:val="bullet"/>
      <w:lvlText w:val=""/>
      <w:lvlJc w:val="left"/>
      <w:pPr>
        <w:tabs>
          <w:tab w:val="num" w:pos="2958"/>
        </w:tabs>
        <w:ind w:left="2958" w:hanging="360"/>
      </w:pPr>
      <w:rPr>
        <w:rFonts w:ascii="Wingdings" w:hAnsi="Wingdings" w:hint="default"/>
      </w:rPr>
    </w:lvl>
    <w:lvl w:ilvl="3" w:tplc="04190001" w:tentative="1">
      <w:start w:val="1"/>
      <w:numFmt w:val="bullet"/>
      <w:lvlText w:val=""/>
      <w:lvlJc w:val="left"/>
      <w:pPr>
        <w:tabs>
          <w:tab w:val="num" w:pos="3678"/>
        </w:tabs>
        <w:ind w:left="3678" w:hanging="360"/>
      </w:pPr>
      <w:rPr>
        <w:rFonts w:ascii="Symbol" w:hAnsi="Symbol" w:hint="default"/>
      </w:rPr>
    </w:lvl>
    <w:lvl w:ilvl="4" w:tplc="04190003" w:tentative="1">
      <w:start w:val="1"/>
      <w:numFmt w:val="bullet"/>
      <w:lvlText w:val="o"/>
      <w:lvlJc w:val="left"/>
      <w:pPr>
        <w:tabs>
          <w:tab w:val="num" w:pos="4398"/>
        </w:tabs>
        <w:ind w:left="4398" w:hanging="360"/>
      </w:pPr>
      <w:rPr>
        <w:rFonts w:ascii="Courier New" w:hAnsi="Courier New" w:hint="default"/>
      </w:rPr>
    </w:lvl>
    <w:lvl w:ilvl="5" w:tplc="04190005" w:tentative="1">
      <w:start w:val="1"/>
      <w:numFmt w:val="bullet"/>
      <w:lvlText w:val=""/>
      <w:lvlJc w:val="left"/>
      <w:pPr>
        <w:tabs>
          <w:tab w:val="num" w:pos="5118"/>
        </w:tabs>
        <w:ind w:left="5118" w:hanging="360"/>
      </w:pPr>
      <w:rPr>
        <w:rFonts w:ascii="Wingdings" w:hAnsi="Wingdings" w:hint="default"/>
      </w:rPr>
    </w:lvl>
    <w:lvl w:ilvl="6" w:tplc="04190001" w:tentative="1">
      <w:start w:val="1"/>
      <w:numFmt w:val="bullet"/>
      <w:lvlText w:val=""/>
      <w:lvlJc w:val="left"/>
      <w:pPr>
        <w:tabs>
          <w:tab w:val="num" w:pos="5838"/>
        </w:tabs>
        <w:ind w:left="5838" w:hanging="360"/>
      </w:pPr>
      <w:rPr>
        <w:rFonts w:ascii="Symbol" w:hAnsi="Symbol" w:hint="default"/>
      </w:rPr>
    </w:lvl>
    <w:lvl w:ilvl="7" w:tplc="04190003" w:tentative="1">
      <w:start w:val="1"/>
      <w:numFmt w:val="bullet"/>
      <w:lvlText w:val="o"/>
      <w:lvlJc w:val="left"/>
      <w:pPr>
        <w:tabs>
          <w:tab w:val="num" w:pos="6558"/>
        </w:tabs>
        <w:ind w:left="6558" w:hanging="360"/>
      </w:pPr>
      <w:rPr>
        <w:rFonts w:ascii="Courier New" w:hAnsi="Courier New" w:hint="default"/>
      </w:rPr>
    </w:lvl>
    <w:lvl w:ilvl="8" w:tplc="04190005" w:tentative="1">
      <w:start w:val="1"/>
      <w:numFmt w:val="bullet"/>
      <w:lvlText w:val=""/>
      <w:lvlJc w:val="left"/>
      <w:pPr>
        <w:tabs>
          <w:tab w:val="num" w:pos="7278"/>
        </w:tabs>
        <w:ind w:left="7278" w:hanging="360"/>
      </w:pPr>
      <w:rPr>
        <w:rFonts w:ascii="Wingdings" w:hAnsi="Wingdings" w:hint="default"/>
      </w:rPr>
    </w:lvl>
  </w:abstractNum>
  <w:abstractNum w:abstractNumId="11">
    <w:nsid w:val="1B1D4BDE"/>
    <w:multiLevelType w:val="singleLevel"/>
    <w:tmpl w:val="C5C6F726"/>
    <w:lvl w:ilvl="0">
      <w:start w:val="1"/>
      <w:numFmt w:val="bullet"/>
      <w:pStyle w:val="a"/>
      <w:lvlText w:val="-"/>
      <w:lvlJc w:val="left"/>
      <w:pPr>
        <w:tabs>
          <w:tab w:val="num" w:pos="1080"/>
        </w:tabs>
        <w:ind w:left="0" w:firstLine="720"/>
      </w:pPr>
      <w:rPr>
        <w:rFonts w:ascii="Tahoma" w:hAnsi="Tahoma" w:hint="default"/>
        <w:sz w:val="28"/>
      </w:rPr>
    </w:lvl>
  </w:abstractNum>
  <w:abstractNum w:abstractNumId="12">
    <w:nsid w:val="236A41D6"/>
    <w:multiLevelType w:val="hybridMultilevel"/>
    <w:tmpl w:val="BBB0D5C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4EF27F3"/>
    <w:multiLevelType w:val="hybridMultilevel"/>
    <w:tmpl w:val="7AFC9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4FD32B2"/>
    <w:multiLevelType w:val="hybridMultilevel"/>
    <w:tmpl w:val="1FF09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A9835E2"/>
    <w:multiLevelType w:val="hybridMultilevel"/>
    <w:tmpl w:val="999C9FA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1011E10"/>
    <w:multiLevelType w:val="hybridMultilevel"/>
    <w:tmpl w:val="1936B560"/>
    <w:lvl w:ilvl="0" w:tplc="04190001">
      <w:start w:val="1"/>
      <w:numFmt w:val="bullet"/>
      <w:lvlText w:val=""/>
      <w:lvlJc w:val="left"/>
      <w:pPr>
        <w:tabs>
          <w:tab w:val="num" w:pos="1272"/>
        </w:tabs>
        <w:ind w:left="1272" w:hanging="360"/>
      </w:pPr>
      <w:rPr>
        <w:rFonts w:ascii="Symbol" w:hAnsi="Symbol" w:hint="default"/>
      </w:rPr>
    </w:lvl>
    <w:lvl w:ilvl="1" w:tplc="04190003" w:tentative="1">
      <w:start w:val="1"/>
      <w:numFmt w:val="bullet"/>
      <w:lvlText w:val="o"/>
      <w:lvlJc w:val="left"/>
      <w:pPr>
        <w:tabs>
          <w:tab w:val="num" w:pos="1992"/>
        </w:tabs>
        <w:ind w:left="1992" w:hanging="360"/>
      </w:pPr>
      <w:rPr>
        <w:rFonts w:ascii="Courier New" w:hAnsi="Courier New" w:cs="Courier New" w:hint="default"/>
      </w:rPr>
    </w:lvl>
    <w:lvl w:ilvl="2" w:tplc="04190005" w:tentative="1">
      <w:start w:val="1"/>
      <w:numFmt w:val="bullet"/>
      <w:lvlText w:val=""/>
      <w:lvlJc w:val="left"/>
      <w:pPr>
        <w:tabs>
          <w:tab w:val="num" w:pos="2712"/>
        </w:tabs>
        <w:ind w:left="2712" w:hanging="360"/>
      </w:pPr>
      <w:rPr>
        <w:rFonts w:ascii="Wingdings" w:hAnsi="Wingdings" w:hint="default"/>
      </w:rPr>
    </w:lvl>
    <w:lvl w:ilvl="3" w:tplc="04190001" w:tentative="1">
      <w:start w:val="1"/>
      <w:numFmt w:val="bullet"/>
      <w:lvlText w:val=""/>
      <w:lvlJc w:val="left"/>
      <w:pPr>
        <w:tabs>
          <w:tab w:val="num" w:pos="3432"/>
        </w:tabs>
        <w:ind w:left="3432" w:hanging="360"/>
      </w:pPr>
      <w:rPr>
        <w:rFonts w:ascii="Symbol" w:hAnsi="Symbol" w:hint="default"/>
      </w:rPr>
    </w:lvl>
    <w:lvl w:ilvl="4" w:tplc="04190003" w:tentative="1">
      <w:start w:val="1"/>
      <w:numFmt w:val="bullet"/>
      <w:lvlText w:val="o"/>
      <w:lvlJc w:val="left"/>
      <w:pPr>
        <w:tabs>
          <w:tab w:val="num" w:pos="4152"/>
        </w:tabs>
        <w:ind w:left="4152" w:hanging="360"/>
      </w:pPr>
      <w:rPr>
        <w:rFonts w:ascii="Courier New" w:hAnsi="Courier New" w:cs="Courier New" w:hint="default"/>
      </w:rPr>
    </w:lvl>
    <w:lvl w:ilvl="5" w:tplc="04190005" w:tentative="1">
      <w:start w:val="1"/>
      <w:numFmt w:val="bullet"/>
      <w:lvlText w:val=""/>
      <w:lvlJc w:val="left"/>
      <w:pPr>
        <w:tabs>
          <w:tab w:val="num" w:pos="4872"/>
        </w:tabs>
        <w:ind w:left="4872" w:hanging="360"/>
      </w:pPr>
      <w:rPr>
        <w:rFonts w:ascii="Wingdings" w:hAnsi="Wingdings" w:hint="default"/>
      </w:rPr>
    </w:lvl>
    <w:lvl w:ilvl="6" w:tplc="04190001" w:tentative="1">
      <w:start w:val="1"/>
      <w:numFmt w:val="bullet"/>
      <w:lvlText w:val=""/>
      <w:lvlJc w:val="left"/>
      <w:pPr>
        <w:tabs>
          <w:tab w:val="num" w:pos="5592"/>
        </w:tabs>
        <w:ind w:left="5592" w:hanging="360"/>
      </w:pPr>
      <w:rPr>
        <w:rFonts w:ascii="Symbol" w:hAnsi="Symbol" w:hint="default"/>
      </w:rPr>
    </w:lvl>
    <w:lvl w:ilvl="7" w:tplc="04190003" w:tentative="1">
      <w:start w:val="1"/>
      <w:numFmt w:val="bullet"/>
      <w:lvlText w:val="o"/>
      <w:lvlJc w:val="left"/>
      <w:pPr>
        <w:tabs>
          <w:tab w:val="num" w:pos="6312"/>
        </w:tabs>
        <w:ind w:left="6312" w:hanging="360"/>
      </w:pPr>
      <w:rPr>
        <w:rFonts w:ascii="Courier New" w:hAnsi="Courier New" w:cs="Courier New" w:hint="default"/>
      </w:rPr>
    </w:lvl>
    <w:lvl w:ilvl="8" w:tplc="04190005" w:tentative="1">
      <w:start w:val="1"/>
      <w:numFmt w:val="bullet"/>
      <w:lvlText w:val=""/>
      <w:lvlJc w:val="left"/>
      <w:pPr>
        <w:tabs>
          <w:tab w:val="num" w:pos="7032"/>
        </w:tabs>
        <w:ind w:left="7032" w:hanging="360"/>
      </w:pPr>
      <w:rPr>
        <w:rFonts w:ascii="Wingdings" w:hAnsi="Wingdings" w:hint="default"/>
      </w:rPr>
    </w:lvl>
  </w:abstractNum>
  <w:abstractNum w:abstractNumId="17">
    <w:nsid w:val="36517B35"/>
    <w:multiLevelType w:val="hybridMultilevel"/>
    <w:tmpl w:val="C0EEDCD6"/>
    <w:lvl w:ilvl="0" w:tplc="04190001">
      <w:start w:val="1"/>
      <w:numFmt w:val="bullet"/>
      <w:lvlText w:val=""/>
      <w:lvlJc w:val="left"/>
      <w:pPr>
        <w:tabs>
          <w:tab w:val="num" w:pos="2073"/>
        </w:tabs>
        <w:ind w:left="2073"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8391B22"/>
    <w:multiLevelType w:val="hybridMultilevel"/>
    <w:tmpl w:val="4386B7A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3E7B24CF"/>
    <w:multiLevelType w:val="hybridMultilevel"/>
    <w:tmpl w:val="FEC0BCE0"/>
    <w:lvl w:ilvl="0" w:tplc="2EA26E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121552A"/>
    <w:multiLevelType w:val="hybridMultilevel"/>
    <w:tmpl w:val="0D0AB43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1">
    <w:nsid w:val="42806C91"/>
    <w:multiLevelType w:val="hybridMultilevel"/>
    <w:tmpl w:val="80C6D05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7582F11"/>
    <w:multiLevelType w:val="hybridMultilevel"/>
    <w:tmpl w:val="D8B2C63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523A3971"/>
    <w:multiLevelType w:val="hybridMultilevel"/>
    <w:tmpl w:val="C64A8A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530A5BB9"/>
    <w:multiLevelType w:val="hybridMultilevel"/>
    <w:tmpl w:val="0E8C777E"/>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5">
    <w:nsid w:val="531170EA"/>
    <w:multiLevelType w:val="hybridMultilevel"/>
    <w:tmpl w:val="1452E052"/>
    <w:lvl w:ilvl="0" w:tplc="04190001">
      <w:start w:val="1"/>
      <w:numFmt w:val="bullet"/>
      <w:lvlText w:val=""/>
      <w:lvlJc w:val="left"/>
      <w:pPr>
        <w:tabs>
          <w:tab w:val="num" w:pos="1337"/>
        </w:tabs>
        <w:ind w:left="1337" w:hanging="360"/>
      </w:pPr>
      <w:rPr>
        <w:rFonts w:ascii="Symbol" w:hAnsi="Symbol" w:hint="default"/>
      </w:rPr>
    </w:lvl>
    <w:lvl w:ilvl="1" w:tplc="04190003" w:tentative="1">
      <w:start w:val="1"/>
      <w:numFmt w:val="bullet"/>
      <w:lvlText w:val="o"/>
      <w:lvlJc w:val="left"/>
      <w:pPr>
        <w:tabs>
          <w:tab w:val="num" w:pos="2057"/>
        </w:tabs>
        <w:ind w:left="2057" w:hanging="360"/>
      </w:pPr>
      <w:rPr>
        <w:rFonts w:ascii="Courier New" w:hAnsi="Courier New" w:hint="default"/>
      </w:rPr>
    </w:lvl>
    <w:lvl w:ilvl="2" w:tplc="04190005" w:tentative="1">
      <w:start w:val="1"/>
      <w:numFmt w:val="bullet"/>
      <w:lvlText w:val=""/>
      <w:lvlJc w:val="left"/>
      <w:pPr>
        <w:tabs>
          <w:tab w:val="num" w:pos="2777"/>
        </w:tabs>
        <w:ind w:left="2777" w:hanging="360"/>
      </w:pPr>
      <w:rPr>
        <w:rFonts w:ascii="Wingdings" w:hAnsi="Wingdings" w:hint="default"/>
      </w:rPr>
    </w:lvl>
    <w:lvl w:ilvl="3" w:tplc="04190001" w:tentative="1">
      <w:start w:val="1"/>
      <w:numFmt w:val="bullet"/>
      <w:lvlText w:val=""/>
      <w:lvlJc w:val="left"/>
      <w:pPr>
        <w:tabs>
          <w:tab w:val="num" w:pos="3497"/>
        </w:tabs>
        <w:ind w:left="3497" w:hanging="360"/>
      </w:pPr>
      <w:rPr>
        <w:rFonts w:ascii="Symbol" w:hAnsi="Symbol" w:hint="default"/>
      </w:rPr>
    </w:lvl>
    <w:lvl w:ilvl="4" w:tplc="04190003" w:tentative="1">
      <w:start w:val="1"/>
      <w:numFmt w:val="bullet"/>
      <w:lvlText w:val="o"/>
      <w:lvlJc w:val="left"/>
      <w:pPr>
        <w:tabs>
          <w:tab w:val="num" w:pos="4217"/>
        </w:tabs>
        <w:ind w:left="4217" w:hanging="360"/>
      </w:pPr>
      <w:rPr>
        <w:rFonts w:ascii="Courier New" w:hAnsi="Courier New" w:hint="default"/>
      </w:rPr>
    </w:lvl>
    <w:lvl w:ilvl="5" w:tplc="04190005" w:tentative="1">
      <w:start w:val="1"/>
      <w:numFmt w:val="bullet"/>
      <w:lvlText w:val=""/>
      <w:lvlJc w:val="left"/>
      <w:pPr>
        <w:tabs>
          <w:tab w:val="num" w:pos="4937"/>
        </w:tabs>
        <w:ind w:left="4937" w:hanging="360"/>
      </w:pPr>
      <w:rPr>
        <w:rFonts w:ascii="Wingdings" w:hAnsi="Wingdings" w:hint="default"/>
      </w:rPr>
    </w:lvl>
    <w:lvl w:ilvl="6" w:tplc="04190001" w:tentative="1">
      <w:start w:val="1"/>
      <w:numFmt w:val="bullet"/>
      <w:lvlText w:val=""/>
      <w:lvlJc w:val="left"/>
      <w:pPr>
        <w:tabs>
          <w:tab w:val="num" w:pos="5657"/>
        </w:tabs>
        <w:ind w:left="5657" w:hanging="360"/>
      </w:pPr>
      <w:rPr>
        <w:rFonts w:ascii="Symbol" w:hAnsi="Symbol" w:hint="default"/>
      </w:rPr>
    </w:lvl>
    <w:lvl w:ilvl="7" w:tplc="04190003" w:tentative="1">
      <w:start w:val="1"/>
      <w:numFmt w:val="bullet"/>
      <w:lvlText w:val="o"/>
      <w:lvlJc w:val="left"/>
      <w:pPr>
        <w:tabs>
          <w:tab w:val="num" w:pos="6377"/>
        </w:tabs>
        <w:ind w:left="6377" w:hanging="360"/>
      </w:pPr>
      <w:rPr>
        <w:rFonts w:ascii="Courier New" w:hAnsi="Courier New" w:hint="default"/>
      </w:rPr>
    </w:lvl>
    <w:lvl w:ilvl="8" w:tplc="04190005" w:tentative="1">
      <w:start w:val="1"/>
      <w:numFmt w:val="bullet"/>
      <w:lvlText w:val=""/>
      <w:lvlJc w:val="left"/>
      <w:pPr>
        <w:tabs>
          <w:tab w:val="num" w:pos="7097"/>
        </w:tabs>
        <w:ind w:left="7097" w:hanging="360"/>
      </w:pPr>
      <w:rPr>
        <w:rFonts w:ascii="Wingdings" w:hAnsi="Wingdings" w:hint="default"/>
      </w:rPr>
    </w:lvl>
  </w:abstractNum>
  <w:abstractNum w:abstractNumId="26">
    <w:nsid w:val="536919AE"/>
    <w:multiLevelType w:val="hybridMultilevel"/>
    <w:tmpl w:val="B1384188"/>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7">
    <w:nsid w:val="53DC7571"/>
    <w:multiLevelType w:val="hybridMultilevel"/>
    <w:tmpl w:val="97366E60"/>
    <w:lvl w:ilvl="0" w:tplc="04190001">
      <w:start w:val="1"/>
      <w:numFmt w:val="bullet"/>
      <w:lvlText w:val=""/>
      <w:lvlJc w:val="left"/>
      <w:pPr>
        <w:tabs>
          <w:tab w:val="num" w:pos="1632"/>
        </w:tabs>
        <w:ind w:left="1632" w:hanging="360"/>
      </w:pPr>
      <w:rPr>
        <w:rFonts w:ascii="Symbol" w:hAnsi="Symbol" w:hint="default"/>
      </w:rPr>
    </w:lvl>
    <w:lvl w:ilvl="1" w:tplc="04190003" w:tentative="1">
      <w:start w:val="1"/>
      <w:numFmt w:val="bullet"/>
      <w:lvlText w:val="o"/>
      <w:lvlJc w:val="left"/>
      <w:pPr>
        <w:tabs>
          <w:tab w:val="num" w:pos="2352"/>
        </w:tabs>
        <w:ind w:left="2352" w:hanging="360"/>
      </w:pPr>
      <w:rPr>
        <w:rFonts w:ascii="Courier New" w:hAnsi="Courier New" w:cs="Courier New" w:hint="default"/>
      </w:rPr>
    </w:lvl>
    <w:lvl w:ilvl="2" w:tplc="04190005" w:tentative="1">
      <w:start w:val="1"/>
      <w:numFmt w:val="bullet"/>
      <w:lvlText w:val=""/>
      <w:lvlJc w:val="left"/>
      <w:pPr>
        <w:tabs>
          <w:tab w:val="num" w:pos="3072"/>
        </w:tabs>
        <w:ind w:left="3072" w:hanging="360"/>
      </w:pPr>
      <w:rPr>
        <w:rFonts w:ascii="Wingdings" w:hAnsi="Wingdings" w:hint="default"/>
      </w:rPr>
    </w:lvl>
    <w:lvl w:ilvl="3" w:tplc="04190001" w:tentative="1">
      <w:start w:val="1"/>
      <w:numFmt w:val="bullet"/>
      <w:lvlText w:val=""/>
      <w:lvlJc w:val="left"/>
      <w:pPr>
        <w:tabs>
          <w:tab w:val="num" w:pos="3792"/>
        </w:tabs>
        <w:ind w:left="3792" w:hanging="360"/>
      </w:pPr>
      <w:rPr>
        <w:rFonts w:ascii="Symbol" w:hAnsi="Symbol" w:hint="default"/>
      </w:rPr>
    </w:lvl>
    <w:lvl w:ilvl="4" w:tplc="04190003" w:tentative="1">
      <w:start w:val="1"/>
      <w:numFmt w:val="bullet"/>
      <w:lvlText w:val="o"/>
      <w:lvlJc w:val="left"/>
      <w:pPr>
        <w:tabs>
          <w:tab w:val="num" w:pos="4512"/>
        </w:tabs>
        <w:ind w:left="4512" w:hanging="360"/>
      </w:pPr>
      <w:rPr>
        <w:rFonts w:ascii="Courier New" w:hAnsi="Courier New" w:cs="Courier New" w:hint="default"/>
      </w:rPr>
    </w:lvl>
    <w:lvl w:ilvl="5" w:tplc="04190005" w:tentative="1">
      <w:start w:val="1"/>
      <w:numFmt w:val="bullet"/>
      <w:lvlText w:val=""/>
      <w:lvlJc w:val="left"/>
      <w:pPr>
        <w:tabs>
          <w:tab w:val="num" w:pos="5232"/>
        </w:tabs>
        <w:ind w:left="5232" w:hanging="360"/>
      </w:pPr>
      <w:rPr>
        <w:rFonts w:ascii="Wingdings" w:hAnsi="Wingdings" w:hint="default"/>
      </w:rPr>
    </w:lvl>
    <w:lvl w:ilvl="6" w:tplc="04190001" w:tentative="1">
      <w:start w:val="1"/>
      <w:numFmt w:val="bullet"/>
      <w:lvlText w:val=""/>
      <w:lvlJc w:val="left"/>
      <w:pPr>
        <w:tabs>
          <w:tab w:val="num" w:pos="5952"/>
        </w:tabs>
        <w:ind w:left="5952" w:hanging="360"/>
      </w:pPr>
      <w:rPr>
        <w:rFonts w:ascii="Symbol" w:hAnsi="Symbol" w:hint="default"/>
      </w:rPr>
    </w:lvl>
    <w:lvl w:ilvl="7" w:tplc="04190003" w:tentative="1">
      <w:start w:val="1"/>
      <w:numFmt w:val="bullet"/>
      <w:lvlText w:val="o"/>
      <w:lvlJc w:val="left"/>
      <w:pPr>
        <w:tabs>
          <w:tab w:val="num" w:pos="6672"/>
        </w:tabs>
        <w:ind w:left="6672" w:hanging="360"/>
      </w:pPr>
      <w:rPr>
        <w:rFonts w:ascii="Courier New" w:hAnsi="Courier New" w:cs="Courier New" w:hint="default"/>
      </w:rPr>
    </w:lvl>
    <w:lvl w:ilvl="8" w:tplc="04190005" w:tentative="1">
      <w:start w:val="1"/>
      <w:numFmt w:val="bullet"/>
      <w:lvlText w:val=""/>
      <w:lvlJc w:val="left"/>
      <w:pPr>
        <w:tabs>
          <w:tab w:val="num" w:pos="7392"/>
        </w:tabs>
        <w:ind w:left="7392" w:hanging="360"/>
      </w:pPr>
      <w:rPr>
        <w:rFonts w:ascii="Wingdings" w:hAnsi="Wingdings" w:hint="default"/>
      </w:rPr>
    </w:lvl>
  </w:abstractNum>
  <w:abstractNum w:abstractNumId="28">
    <w:nsid w:val="544D632C"/>
    <w:multiLevelType w:val="hybridMultilevel"/>
    <w:tmpl w:val="A4E2F5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5F25AD3"/>
    <w:multiLevelType w:val="hybridMultilevel"/>
    <w:tmpl w:val="3CD2CFB2"/>
    <w:lvl w:ilvl="0" w:tplc="85AC96A8">
      <w:start w:val="1"/>
      <w:numFmt w:val="bullet"/>
      <w:lvlText w:val=""/>
      <w:lvlJc w:val="left"/>
      <w:pPr>
        <w:tabs>
          <w:tab w:val="num" w:pos="1803"/>
        </w:tabs>
        <w:ind w:left="1803" w:hanging="360"/>
      </w:pPr>
      <w:rPr>
        <w:rFonts w:ascii="Symbol" w:hAnsi="Symbol" w:hint="default"/>
        <w:color w:val="auto"/>
      </w:rPr>
    </w:lvl>
    <w:lvl w:ilvl="1" w:tplc="04190003" w:tentative="1">
      <w:start w:val="1"/>
      <w:numFmt w:val="bullet"/>
      <w:lvlText w:val="o"/>
      <w:lvlJc w:val="left"/>
      <w:pPr>
        <w:tabs>
          <w:tab w:val="num" w:pos="2523"/>
        </w:tabs>
        <w:ind w:left="2523" w:hanging="360"/>
      </w:pPr>
      <w:rPr>
        <w:rFonts w:ascii="Courier New" w:hAnsi="Courier New" w:hint="default"/>
      </w:rPr>
    </w:lvl>
    <w:lvl w:ilvl="2" w:tplc="04190005" w:tentative="1">
      <w:start w:val="1"/>
      <w:numFmt w:val="bullet"/>
      <w:lvlText w:val=""/>
      <w:lvlJc w:val="left"/>
      <w:pPr>
        <w:tabs>
          <w:tab w:val="num" w:pos="3243"/>
        </w:tabs>
        <w:ind w:left="3243" w:hanging="360"/>
      </w:pPr>
      <w:rPr>
        <w:rFonts w:ascii="Wingdings" w:hAnsi="Wingdings" w:hint="default"/>
      </w:rPr>
    </w:lvl>
    <w:lvl w:ilvl="3" w:tplc="04190001" w:tentative="1">
      <w:start w:val="1"/>
      <w:numFmt w:val="bullet"/>
      <w:lvlText w:val=""/>
      <w:lvlJc w:val="left"/>
      <w:pPr>
        <w:tabs>
          <w:tab w:val="num" w:pos="3963"/>
        </w:tabs>
        <w:ind w:left="3963" w:hanging="360"/>
      </w:pPr>
      <w:rPr>
        <w:rFonts w:ascii="Symbol" w:hAnsi="Symbol" w:hint="default"/>
      </w:rPr>
    </w:lvl>
    <w:lvl w:ilvl="4" w:tplc="04190003" w:tentative="1">
      <w:start w:val="1"/>
      <w:numFmt w:val="bullet"/>
      <w:lvlText w:val="o"/>
      <w:lvlJc w:val="left"/>
      <w:pPr>
        <w:tabs>
          <w:tab w:val="num" w:pos="4683"/>
        </w:tabs>
        <w:ind w:left="4683" w:hanging="360"/>
      </w:pPr>
      <w:rPr>
        <w:rFonts w:ascii="Courier New" w:hAnsi="Courier New" w:hint="default"/>
      </w:rPr>
    </w:lvl>
    <w:lvl w:ilvl="5" w:tplc="04190005" w:tentative="1">
      <w:start w:val="1"/>
      <w:numFmt w:val="bullet"/>
      <w:lvlText w:val=""/>
      <w:lvlJc w:val="left"/>
      <w:pPr>
        <w:tabs>
          <w:tab w:val="num" w:pos="5403"/>
        </w:tabs>
        <w:ind w:left="5403" w:hanging="360"/>
      </w:pPr>
      <w:rPr>
        <w:rFonts w:ascii="Wingdings" w:hAnsi="Wingdings" w:hint="default"/>
      </w:rPr>
    </w:lvl>
    <w:lvl w:ilvl="6" w:tplc="04190001" w:tentative="1">
      <w:start w:val="1"/>
      <w:numFmt w:val="bullet"/>
      <w:lvlText w:val=""/>
      <w:lvlJc w:val="left"/>
      <w:pPr>
        <w:tabs>
          <w:tab w:val="num" w:pos="6123"/>
        </w:tabs>
        <w:ind w:left="6123" w:hanging="360"/>
      </w:pPr>
      <w:rPr>
        <w:rFonts w:ascii="Symbol" w:hAnsi="Symbol" w:hint="default"/>
      </w:rPr>
    </w:lvl>
    <w:lvl w:ilvl="7" w:tplc="04190003" w:tentative="1">
      <w:start w:val="1"/>
      <w:numFmt w:val="bullet"/>
      <w:lvlText w:val="o"/>
      <w:lvlJc w:val="left"/>
      <w:pPr>
        <w:tabs>
          <w:tab w:val="num" w:pos="6843"/>
        </w:tabs>
        <w:ind w:left="6843" w:hanging="360"/>
      </w:pPr>
      <w:rPr>
        <w:rFonts w:ascii="Courier New" w:hAnsi="Courier New" w:hint="default"/>
      </w:rPr>
    </w:lvl>
    <w:lvl w:ilvl="8" w:tplc="04190005" w:tentative="1">
      <w:start w:val="1"/>
      <w:numFmt w:val="bullet"/>
      <w:lvlText w:val=""/>
      <w:lvlJc w:val="left"/>
      <w:pPr>
        <w:tabs>
          <w:tab w:val="num" w:pos="7563"/>
        </w:tabs>
        <w:ind w:left="7563" w:hanging="360"/>
      </w:pPr>
      <w:rPr>
        <w:rFonts w:ascii="Wingdings" w:hAnsi="Wingdings" w:hint="default"/>
      </w:rPr>
    </w:lvl>
  </w:abstractNum>
  <w:abstractNum w:abstractNumId="30">
    <w:nsid w:val="5BAF0F61"/>
    <w:multiLevelType w:val="hybridMultilevel"/>
    <w:tmpl w:val="51D6D71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0C770A4"/>
    <w:multiLevelType w:val="hybridMultilevel"/>
    <w:tmpl w:val="14CAE9A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6630011F"/>
    <w:multiLevelType w:val="hybridMultilevel"/>
    <w:tmpl w:val="79982A24"/>
    <w:lvl w:ilvl="0" w:tplc="913AC88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2049"/>
        </w:tabs>
        <w:ind w:left="2049" w:hanging="360"/>
      </w:pPr>
      <w:rPr>
        <w:rFonts w:ascii="Courier New" w:hAnsi="Courier New" w:cs="Courier New" w:hint="default"/>
      </w:rPr>
    </w:lvl>
    <w:lvl w:ilvl="2" w:tplc="04190005" w:tentative="1">
      <w:start w:val="1"/>
      <w:numFmt w:val="bullet"/>
      <w:lvlText w:val=""/>
      <w:lvlJc w:val="left"/>
      <w:pPr>
        <w:tabs>
          <w:tab w:val="num" w:pos="2769"/>
        </w:tabs>
        <w:ind w:left="2769" w:hanging="360"/>
      </w:pPr>
      <w:rPr>
        <w:rFonts w:ascii="Wingdings" w:hAnsi="Wingdings" w:hint="default"/>
      </w:rPr>
    </w:lvl>
    <w:lvl w:ilvl="3" w:tplc="04190001" w:tentative="1">
      <w:start w:val="1"/>
      <w:numFmt w:val="bullet"/>
      <w:lvlText w:val=""/>
      <w:lvlJc w:val="left"/>
      <w:pPr>
        <w:tabs>
          <w:tab w:val="num" w:pos="3489"/>
        </w:tabs>
        <w:ind w:left="3489" w:hanging="360"/>
      </w:pPr>
      <w:rPr>
        <w:rFonts w:ascii="Symbol" w:hAnsi="Symbol" w:hint="default"/>
      </w:rPr>
    </w:lvl>
    <w:lvl w:ilvl="4" w:tplc="04190003" w:tentative="1">
      <w:start w:val="1"/>
      <w:numFmt w:val="bullet"/>
      <w:lvlText w:val="o"/>
      <w:lvlJc w:val="left"/>
      <w:pPr>
        <w:tabs>
          <w:tab w:val="num" w:pos="4209"/>
        </w:tabs>
        <w:ind w:left="4209" w:hanging="360"/>
      </w:pPr>
      <w:rPr>
        <w:rFonts w:ascii="Courier New" w:hAnsi="Courier New" w:cs="Courier New" w:hint="default"/>
      </w:rPr>
    </w:lvl>
    <w:lvl w:ilvl="5" w:tplc="04190005" w:tentative="1">
      <w:start w:val="1"/>
      <w:numFmt w:val="bullet"/>
      <w:lvlText w:val=""/>
      <w:lvlJc w:val="left"/>
      <w:pPr>
        <w:tabs>
          <w:tab w:val="num" w:pos="4929"/>
        </w:tabs>
        <w:ind w:left="4929" w:hanging="360"/>
      </w:pPr>
      <w:rPr>
        <w:rFonts w:ascii="Wingdings" w:hAnsi="Wingdings" w:hint="default"/>
      </w:rPr>
    </w:lvl>
    <w:lvl w:ilvl="6" w:tplc="04190001" w:tentative="1">
      <w:start w:val="1"/>
      <w:numFmt w:val="bullet"/>
      <w:lvlText w:val=""/>
      <w:lvlJc w:val="left"/>
      <w:pPr>
        <w:tabs>
          <w:tab w:val="num" w:pos="5649"/>
        </w:tabs>
        <w:ind w:left="5649" w:hanging="360"/>
      </w:pPr>
      <w:rPr>
        <w:rFonts w:ascii="Symbol" w:hAnsi="Symbol" w:hint="default"/>
      </w:rPr>
    </w:lvl>
    <w:lvl w:ilvl="7" w:tplc="04190003" w:tentative="1">
      <w:start w:val="1"/>
      <w:numFmt w:val="bullet"/>
      <w:lvlText w:val="o"/>
      <w:lvlJc w:val="left"/>
      <w:pPr>
        <w:tabs>
          <w:tab w:val="num" w:pos="6369"/>
        </w:tabs>
        <w:ind w:left="6369" w:hanging="360"/>
      </w:pPr>
      <w:rPr>
        <w:rFonts w:ascii="Courier New" w:hAnsi="Courier New" w:cs="Courier New" w:hint="default"/>
      </w:rPr>
    </w:lvl>
    <w:lvl w:ilvl="8" w:tplc="04190005" w:tentative="1">
      <w:start w:val="1"/>
      <w:numFmt w:val="bullet"/>
      <w:lvlText w:val=""/>
      <w:lvlJc w:val="left"/>
      <w:pPr>
        <w:tabs>
          <w:tab w:val="num" w:pos="7089"/>
        </w:tabs>
        <w:ind w:left="7089" w:hanging="360"/>
      </w:pPr>
      <w:rPr>
        <w:rFonts w:ascii="Wingdings" w:hAnsi="Wingdings" w:hint="default"/>
      </w:rPr>
    </w:lvl>
  </w:abstractNum>
  <w:abstractNum w:abstractNumId="33">
    <w:nsid w:val="6E476143"/>
    <w:multiLevelType w:val="hybridMultilevel"/>
    <w:tmpl w:val="0FC41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FAD0E34"/>
    <w:multiLevelType w:val="hybridMultilevel"/>
    <w:tmpl w:val="3378F36C"/>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073E37"/>
    <w:multiLevelType w:val="hybridMultilevel"/>
    <w:tmpl w:val="1040D460"/>
    <w:lvl w:ilvl="0" w:tplc="04190001">
      <w:start w:val="1"/>
      <w:numFmt w:val="bullet"/>
      <w:lvlText w:val=""/>
      <w:lvlJc w:val="left"/>
      <w:pPr>
        <w:tabs>
          <w:tab w:val="num" w:pos="1575"/>
        </w:tabs>
        <w:ind w:left="1575" w:hanging="360"/>
      </w:pPr>
      <w:rPr>
        <w:rFonts w:ascii="Symbol" w:hAnsi="Symbol" w:hint="default"/>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36">
    <w:nsid w:val="726E46F1"/>
    <w:multiLevelType w:val="hybridMultilevel"/>
    <w:tmpl w:val="B90A3ADC"/>
    <w:lvl w:ilvl="0" w:tplc="04190001">
      <w:start w:val="1"/>
      <w:numFmt w:val="bullet"/>
      <w:lvlText w:val=""/>
      <w:lvlJc w:val="left"/>
      <w:pPr>
        <w:tabs>
          <w:tab w:val="num" w:pos="1710"/>
        </w:tabs>
        <w:ind w:left="1710" w:hanging="360"/>
      </w:pPr>
      <w:rPr>
        <w:rFonts w:ascii="Symbol" w:hAnsi="Symbol" w:hint="default"/>
      </w:rPr>
    </w:lvl>
    <w:lvl w:ilvl="1" w:tplc="04190003" w:tentative="1">
      <w:start w:val="1"/>
      <w:numFmt w:val="bullet"/>
      <w:lvlText w:val="o"/>
      <w:lvlJc w:val="left"/>
      <w:pPr>
        <w:tabs>
          <w:tab w:val="num" w:pos="2430"/>
        </w:tabs>
        <w:ind w:left="2430" w:hanging="360"/>
      </w:pPr>
      <w:rPr>
        <w:rFonts w:ascii="Courier New" w:hAnsi="Courier New" w:hint="default"/>
      </w:rPr>
    </w:lvl>
    <w:lvl w:ilvl="2" w:tplc="04190005" w:tentative="1">
      <w:start w:val="1"/>
      <w:numFmt w:val="bullet"/>
      <w:lvlText w:val=""/>
      <w:lvlJc w:val="left"/>
      <w:pPr>
        <w:tabs>
          <w:tab w:val="num" w:pos="3150"/>
        </w:tabs>
        <w:ind w:left="3150" w:hanging="360"/>
      </w:pPr>
      <w:rPr>
        <w:rFonts w:ascii="Wingdings" w:hAnsi="Wingdings" w:hint="default"/>
      </w:rPr>
    </w:lvl>
    <w:lvl w:ilvl="3" w:tplc="04190001" w:tentative="1">
      <w:start w:val="1"/>
      <w:numFmt w:val="bullet"/>
      <w:lvlText w:val=""/>
      <w:lvlJc w:val="left"/>
      <w:pPr>
        <w:tabs>
          <w:tab w:val="num" w:pos="3870"/>
        </w:tabs>
        <w:ind w:left="3870" w:hanging="360"/>
      </w:pPr>
      <w:rPr>
        <w:rFonts w:ascii="Symbol" w:hAnsi="Symbol" w:hint="default"/>
      </w:rPr>
    </w:lvl>
    <w:lvl w:ilvl="4" w:tplc="04190003" w:tentative="1">
      <w:start w:val="1"/>
      <w:numFmt w:val="bullet"/>
      <w:lvlText w:val="o"/>
      <w:lvlJc w:val="left"/>
      <w:pPr>
        <w:tabs>
          <w:tab w:val="num" w:pos="4590"/>
        </w:tabs>
        <w:ind w:left="4590" w:hanging="360"/>
      </w:pPr>
      <w:rPr>
        <w:rFonts w:ascii="Courier New" w:hAnsi="Courier New" w:hint="default"/>
      </w:rPr>
    </w:lvl>
    <w:lvl w:ilvl="5" w:tplc="04190005" w:tentative="1">
      <w:start w:val="1"/>
      <w:numFmt w:val="bullet"/>
      <w:lvlText w:val=""/>
      <w:lvlJc w:val="left"/>
      <w:pPr>
        <w:tabs>
          <w:tab w:val="num" w:pos="5310"/>
        </w:tabs>
        <w:ind w:left="5310" w:hanging="360"/>
      </w:pPr>
      <w:rPr>
        <w:rFonts w:ascii="Wingdings" w:hAnsi="Wingdings" w:hint="default"/>
      </w:rPr>
    </w:lvl>
    <w:lvl w:ilvl="6" w:tplc="04190001" w:tentative="1">
      <w:start w:val="1"/>
      <w:numFmt w:val="bullet"/>
      <w:lvlText w:val=""/>
      <w:lvlJc w:val="left"/>
      <w:pPr>
        <w:tabs>
          <w:tab w:val="num" w:pos="6030"/>
        </w:tabs>
        <w:ind w:left="6030" w:hanging="360"/>
      </w:pPr>
      <w:rPr>
        <w:rFonts w:ascii="Symbol" w:hAnsi="Symbol" w:hint="default"/>
      </w:rPr>
    </w:lvl>
    <w:lvl w:ilvl="7" w:tplc="04190003" w:tentative="1">
      <w:start w:val="1"/>
      <w:numFmt w:val="bullet"/>
      <w:lvlText w:val="o"/>
      <w:lvlJc w:val="left"/>
      <w:pPr>
        <w:tabs>
          <w:tab w:val="num" w:pos="6750"/>
        </w:tabs>
        <w:ind w:left="6750" w:hanging="360"/>
      </w:pPr>
      <w:rPr>
        <w:rFonts w:ascii="Courier New" w:hAnsi="Courier New" w:hint="default"/>
      </w:rPr>
    </w:lvl>
    <w:lvl w:ilvl="8" w:tplc="04190005" w:tentative="1">
      <w:start w:val="1"/>
      <w:numFmt w:val="bullet"/>
      <w:lvlText w:val=""/>
      <w:lvlJc w:val="left"/>
      <w:pPr>
        <w:tabs>
          <w:tab w:val="num" w:pos="7470"/>
        </w:tabs>
        <w:ind w:left="7470" w:hanging="360"/>
      </w:pPr>
      <w:rPr>
        <w:rFonts w:ascii="Wingdings" w:hAnsi="Wingdings" w:hint="default"/>
      </w:rPr>
    </w:lvl>
  </w:abstractNum>
  <w:abstractNum w:abstractNumId="37">
    <w:nsid w:val="74DB343A"/>
    <w:multiLevelType w:val="hybridMultilevel"/>
    <w:tmpl w:val="BD7828A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74EA17D8"/>
    <w:multiLevelType w:val="hybridMultilevel"/>
    <w:tmpl w:val="00425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E7D67E8"/>
    <w:multiLevelType w:val="hybridMultilevel"/>
    <w:tmpl w:val="0D56E770"/>
    <w:lvl w:ilvl="0" w:tplc="04190001">
      <w:start w:val="1"/>
      <w:numFmt w:val="bullet"/>
      <w:lvlText w:val=""/>
      <w:lvlJc w:val="left"/>
      <w:pPr>
        <w:tabs>
          <w:tab w:val="num" w:pos="1406"/>
        </w:tabs>
        <w:ind w:left="1406" w:hanging="360"/>
      </w:pPr>
      <w:rPr>
        <w:rFonts w:ascii="Symbol" w:hAnsi="Symbol" w:hint="default"/>
      </w:rPr>
    </w:lvl>
    <w:lvl w:ilvl="1" w:tplc="04190003" w:tentative="1">
      <w:start w:val="1"/>
      <w:numFmt w:val="bullet"/>
      <w:lvlText w:val="o"/>
      <w:lvlJc w:val="left"/>
      <w:pPr>
        <w:tabs>
          <w:tab w:val="num" w:pos="2126"/>
        </w:tabs>
        <w:ind w:left="2126" w:hanging="360"/>
      </w:pPr>
      <w:rPr>
        <w:rFonts w:ascii="Courier New" w:hAnsi="Courier New" w:cs="Courier New" w:hint="default"/>
      </w:rPr>
    </w:lvl>
    <w:lvl w:ilvl="2" w:tplc="04190005" w:tentative="1">
      <w:start w:val="1"/>
      <w:numFmt w:val="bullet"/>
      <w:lvlText w:val=""/>
      <w:lvlJc w:val="left"/>
      <w:pPr>
        <w:tabs>
          <w:tab w:val="num" w:pos="2846"/>
        </w:tabs>
        <w:ind w:left="2846" w:hanging="360"/>
      </w:pPr>
      <w:rPr>
        <w:rFonts w:ascii="Wingdings" w:hAnsi="Wingdings" w:hint="default"/>
      </w:rPr>
    </w:lvl>
    <w:lvl w:ilvl="3" w:tplc="04190001" w:tentative="1">
      <w:start w:val="1"/>
      <w:numFmt w:val="bullet"/>
      <w:lvlText w:val=""/>
      <w:lvlJc w:val="left"/>
      <w:pPr>
        <w:tabs>
          <w:tab w:val="num" w:pos="3566"/>
        </w:tabs>
        <w:ind w:left="3566" w:hanging="360"/>
      </w:pPr>
      <w:rPr>
        <w:rFonts w:ascii="Symbol" w:hAnsi="Symbol" w:hint="default"/>
      </w:rPr>
    </w:lvl>
    <w:lvl w:ilvl="4" w:tplc="04190003" w:tentative="1">
      <w:start w:val="1"/>
      <w:numFmt w:val="bullet"/>
      <w:lvlText w:val="o"/>
      <w:lvlJc w:val="left"/>
      <w:pPr>
        <w:tabs>
          <w:tab w:val="num" w:pos="4286"/>
        </w:tabs>
        <w:ind w:left="4286" w:hanging="360"/>
      </w:pPr>
      <w:rPr>
        <w:rFonts w:ascii="Courier New" w:hAnsi="Courier New" w:cs="Courier New" w:hint="default"/>
      </w:rPr>
    </w:lvl>
    <w:lvl w:ilvl="5" w:tplc="04190005" w:tentative="1">
      <w:start w:val="1"/>
      <w:numFmt w:val="bullet"/>
      <w:lvlText w:val=""/>
      <w:lvlJc w:val="left"/>
      <w:pPr>
        <w:tabs>
          <w:tab w:val="num" w:pos="5006"/>
        </w:tabs>
        <w:ind w:left="5006" w:hanging="360"/>
      </w:pPr>
      <w:rPr>
        <w:rFonts w:ascii="Wingdings" w:hAnsi="Wingdings" w:hint="default"/>
      </w:rPr>
    </w:lvl>
    <w:lvl w:ilvl="6" w:tplc="04190001" w:tentative="1">
      <w:start w:val="1"/>
      <w:numFmt w:val="bullet"/>
      <w:lvlText w:val=""/>
      <w:lvlJc w:val="left"/>
      <w:pPr>
        <w:tabs>
          <w:tab w:val="num" w:pos="5726"/>
        </w:tabs>
        <w:ind w:left="5726" w:hanging="360"/>
      </w:pPr>
      <w:rPr>
        <w:rFonts w:ascii="Symbol" w:hAnsi="Symbol" w:hint="default"/>
      </w:rPr>
    </w:lvl>
    <w:lvl w:ilvl="7" w:tplc="04190003" w:tentative="1">
      <w:start w:val="1"/>
      <w:numFmt w:val="bullet"/>
      <w:lvlText w:val="o"/>
      <w:lvlJc w:val="left"/>
      <w:pPr>
        <w:tabs>
          <w:tab w:val="num" w:pos="6446"/>
        </w:tabs>
        <w:ind w:left="6446" w:hanging="360"/>
      </w:pPr>
      <w:rPr>
        <w:rFonts w:ascii="Courier New" w:hAnsi="Courier New" w:cs="Courier New" w:hint="default"/>
      </w:rPr>
    </w:lvl>
    <w:lvl w:ilvl="8" w:tplc="04190005" w:tentative="1">
      <w:start w:val="1"/>
      <w:numFmt w:val="bullet"/>
      <w:lvlText w:val=""/>
      <w:lvlJc w:val="left"/>
      <w:pPr>
        <w:tabs>
          <w:tab w:val="num" w:pos="7166"/>
        </w:tabs>
        <w:ind w:left="7166" w:hanging="360"/>
      </w:pPr>
      <w:rPr>
        <w:rFonts w:ascii="Wingdings" w:hAnsi="Wingdings" w:hint="default"/>
      </w:rPr>
    </w:lvl>
  </w:abstractNum>
  <w:num w:numId="1">
    <w:abstractNumId w:val="22"/>
  </w:num>
  <w:num w:numId="2">
    <w:abstractNumId w:val="9"/>
  </w:num>
  <w:num w:numId="3">
    <w:abstractNumId w:val="18"/>
  </w:num>
  <w:num w:numId="4">
    <w:abstractNumId w:val="5"/>
  </w:num>
  <w:num w:numId="5">
    <w:abstractNumId w:val="29"/>
  </w:num>
  <w:num w:numId="6">
    <w:abstractNumId w:val="3"/>
  </w:num>
  <w:num w:numId="7">
    <w:abstractNumId w:val="11"/>
  </w:num>
  <w:num w:numId="8">
    <w:abstractNumId w:val="14"/>
  </w:num>
  <w:num w:numId="9">
    <w:abstractNumId w:val="10"/>
  </w:num>
  <w:num w:numId="10">
    <w:abstractNumId w:val="36"/>
  </w:num>
  <w:num w:numId="11">
    <w:abstractNumId w:val="20"/>
  </w:num>
  <w:num w:numId="12">
    <w:abstractNumId w:val="31"/>
  </w:num>
  <w:num w:numId="13">
    <w:abstractNumId w:val="6"/>
  </w:num>
  <w:num w:numId="14">
    <w:abstractNumId w:val="24"/>
  </w:num>
  <w:num w:numId="15">
    <w:abstractNumId w:val="26"/>
  </w:num>
  <w:num w:numId="16">
    <w:abstractNumId w:val="35"/>
  </w:num>
  <w:num w:numId="17">
    <w:abstractNumId w:val="0"/>
  </w:num>
  <w:num w:numId="18">
    <w:abstractNumId w:val="33"/>
  </w:num>
  <w:num w:numId="19">
    <w:abstractNumId w:val="27"/>
  </w:num>
  <w:num w:numId="20">
    <w:abstractNumId w:val="2"/>
  </w:num>
  <w:num w:numId="21">
    <w:abstractNumId w:val="7"/>
  </w:num>
  <w:num w:numId="22">
    <w:abstractNumId w:val="16"/>
  </w:num>
  <w:num w:numId="23">
    <w:abstractNumId w:val="12"/>
  </w:num>
  <w:num w:numId="24">
    <w:abstractNumId w:val="15"/>
  </w:num>
  <w:num w:numId="25">
    <w:abstractNumId w:val="39"/>
  </w:num>
  <w:num w:numId="26">
    <w:abstractNumId w:val="30"/>
  </w:num>
  <w:num w:numId="27">
    <w:abstractNumId w:val="32"/>
  </w:num>
  <w:num w:numId="28">
    <w:abstractNumId w:val="17"/>
  </w:num>
  <w:num w:numId="29">
    <w:abstractNumId w:val="4"/>
  </w:num>
  <w:num w:numId="30">
    <w:abstractNumId w:val="8"/>
  </w:num>
  <w:num w:numId="31">
    <w:abstractNumId w:val="23"/>
  </w:num>
  <w:num w:numId="32">
    <w:abstractNumId w:val="37"/>
  </w:num>
  <w:num w:numId="33">
    <w:abstractNumId w:val="21"/>
  </w:num>
  <w:num w:numId="34">
    <w:abstractNumId w:val="1"/>
  </w:num>
  <w:num w:numId="35">
    <w:abstractNumId w:val="34"/>
  </w:num>
  <w:num w:numId="36">
    <w:abstractNumId w:val="28"/>
  </w:num>
  <w:num w:numId="37">
    <w:abstractNumId w:val="38"/>
  </w:num>
  <w:num w:numId="38">
    <w:abstractNumId w:val="13"/>
  </w:num>
  <w:num w:numId="39">
    <w:abstractNumId w:val="25"/>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3CA"/>
    <w:rsid w:val="000022A6"/>
    <w:rsid w:val="00005F46"/>
    <w:rsid w:val="000065BC"/>
    <w:rsid w:val="00006F64"/>
    <w:rsid w:val="00007BED"/>
    <w:rsid w:val="00011A57"/>
    <w:rsid w:val="00011C08"/>
    <w:rsid w:val="00013C30"/>
    <w:rsid w:val="00013DCB"/>
    <w:rsid w:val="000216FB"/>
    <w:rsid w:val="00023574"/>
    <w:rsid w:val="00025A46"/>
    <w:rsid w:val="000260C7"/>
    <w:rsid w:val="00026A77"/>
    <w:rsid w:val="00027957"/>
    <w:rsid w:val="00027EE6"/>
    <w:rsid w:val="00030E70"/>
    <w:rsid w:val="00032399"/>
    <w:rsid w:val="00032B58"/>
    <w:rsid w:val="0003468F"/>
    <w:rsid w:val="00036802"/>
    <w:rsid w:val="00036D1E"/>
    <w:rsid w:val="00045D40"/>
    <w:rsid w:val="00045FFF"/>
    <w:rsid w:val="00050C11"/>
    <w:rsid w:val="00051389"/>
    <w:rsid w:val="00052653"/>
    <w:rsid w:val="00052B85"/>
    <w:rsid w:val="0005471D"/>
    <w:rsid w:val="000560CC"/>
    <w:rsid w:val="000565F6"/>
    <w:rsid w:val="0005694D"/>
    <w:rsid w:val="000637C1"/>
    <w:rsid w:val="00063EE1"/>
    <w:rsid w:val="00063FD1"/>
    <w:rsid w:val="00065832"/>
    <w:rsid w:val="000658C6"/>
    <w:rsid w:val="0006640C"/>
    <w:rsid w:val="00066674"/>
    <w:rsid w:val="0006739E"/>
    <w:rsid w:val="00070293"/>
    <w:rsid w:val="000720E8"/>
    <w:rsid w:val="00073A7D"/>
    <w:rsid w:val="00075314"/>
    <w:rsid w:val="00075CA1"/>
    <w:rsid w:val="000760F7"/>
    <w:rsid w:val="00080A96"/>
    <w:rsid w:val="00081707"/>
    <w:rsid w:val="00081BF5"/>
    <w:rsid w:val="00082EE0"/>
    <w:rsid w:val="000835F4"/>
    <w:rsid w:val="00084168"/>
    <w:rsid w:val="0008689A"/>
    <w:rsid w:val="000929AF"/>
    <w:rsid w:val="00092CEF"/>
    <w:rsid w:val="00094372"/>
    <w:rsid w:val="00096767"/>
    <w:rsid w:val="00097370"/>
    <w:rsid w:val="000A3F1F"/>
    <w:rsid w:val="000A4B52"/>
    <w:rsid w:val="000A5383"/>
    <w:rsid w:val="000A5479"/>
    <w:rsid w:val="000B143C"/>
    <w:rsid w:val="000B2B61"/>
    <w:rsid w:val="000B2FD8"/>
    <w:rsid w:val="000B36AE"/>
    <w:rsid w:val="000B4A59"/>
    <w:rsid w:val="000B75BE"/>
    <w:rsid w:val="000B773C"/>
    <w:rsid w:val="000C0067"/>
    <w:rsid w:val="000C1F67"/>
    <w:rsid w:val="000C24D1"/>
    <w:rsid w:val="000C270F"/>
    <w:rsid w:val="000C3222"/>
    <w:rsid w:val="000C4CD6"/>
    <w:rsid w:val="000C51E7"/>
    <w:rsid w:val="000C78B9"/>
    <w:rsid w:val="000D0D6A"/>
    <w:rsid w:val="000D1E1D"/>
    <w:rsid w:val="000D4A1A"/>
    <w:rsid w:val="000D55A5"/>
    <w:rsid w:val="000D777A"/>
    <w:rsid w:val="000E0B4C"/>
    <w:rsid w:val="000E162E"/>
    <w:rsid w:val="000E1A32"/>
    <w:rsid w:val="000E1BEF"/>
    <w:rsid w:val="000E1DA4"/>
    <w:rsid w:val="000E294A"/>
    <w:rsid w:val="000E61E7"/>
    <w:rsid w:val="000E6205"/>
    <w:rsid w:val="000E709D"/>
    <w:rsid w:val="000E7A55"/>
    <w:rsid w:val="000F02AC"/>
    <w:rsid w:val="000F03C1"/>
    <w:rsid w:val="000F0C39"/>
    <w:rsid w:val="000F10CC"/>
    <w:rsid w:val="000F2E60"/>
    <w:rsid w:val="000F3D6C"/>
    <w:rsid w:val="00107890"/>
    <w:rsid w:val="0010794F"/>
    <w:rsid w:val="00107D03"/>
    <w:rsid w:val="00107F5B"/>
    <w:rsid w:val="001129D4"/>
    <w:rsid w:val="00114168"/>
    <w:rsid w:val="00116504"/>
    <w:rsid w:val="00116569"/>
    <w:rsid w:val="001169A8"/>
    <w:rsid w:val="00120361"/>
    <w:rsid w:val="00120771"/>
    <w:rsid w:val="00120E81"/>
    <w:rsid w:val="001221DA"/>
    <w:rsid w:val="0012305F"/>
    <w:rsid w:val="0012364E"/>
    <w:rsid w:val="00125D4F"/>
    <w:rsid w:val="0013005A"/>
    <w:rsid w:val="001301DA"/>
    <w:rsid w:val="001323D6"/>
    <w:rsid w:val="0013295F"/>
    <w:rsid w:val="001342FE"/>
    <w:rsid w:val="0013527A"/>
    <w:rsid w:val="001352BD"/>
    <w:rsid w:val="00135D12"/>
    <w:rsid w:val="00141434"/>
    <w:rsid w:val="00150840"/>
    <w:rsid w:val="00151455"/>
    <w:rsid w:val="00152D0A"/>
    <w:rsid w:val="00153DF1"/>
    <w:rsid w:val="00154B74"/>
    <w:rsid w:val="001566C7"/>
    <w:rsid w:val="00157874"/>
    <w:rsid w:val="00161AE4"/>
    <w:rsid w:val="00162279"/>
    <w:rsid w:val="00163389"/>
    <w:rsid w:val="00164846"/>
    <w:rsid w:val="00165D61"/>
    <w:rsid w:val="0016668F"/>
    <w:rsid w:val="001667FE"/>
    <w:rsid w:val="00166EA8"/>
    <w:rsid w:val="00167D7C"/>
    <w:rsid w:val="00172A33"/>
    <w:rsid w:val="0017438F"/>
    <w:rsid w:val="00175E6D"/>
    <w:rsid w:val="00184FD0"/>
    <w:rsid w:val="00185025"/>
    <w:rsid w:val="00186ED1"/>
    <w:rsid w:val="001916E9"/>
    <w:rsid w:val="0019293F"/>
    <w:rsid w:val="00197837"/>
    <w:rsid w:val="001A4177"/>
    <w:rsid w:val="001A6547"/>
    <w:rsid w:val="001A70F6"/>
    <w:rsid w:val="001A7736"/>
    <w:rsid w:val="001B0609"/>
    <w:rsid w:val="001B1389"/>
    <w:rsid w:val="001B4CE3"/>
    <w:rsid w:val="001B56E3"/>
    <w:rsid w:val="001C311F"/>
    <w:rsid w:val="001C4EEA"/>
    <w:rsid w:val="001C55C0"/>
    <w:rsid w:val="001C5DA3"/>
    <w:rsid w:val="001D0434"/>
    <w:rsid w:val="001D07A7"/>
    <w:rsid w:val="001D1764"/>
    <w:rsid w:val="001D279E"/>
    <w:rsid w:val="001D4542"/>
    <w:rsid w:val="001D46AB"/>
    <w:rsid w:val="001D56F9"/>
    <w:rsid w:val="001D5C70"/>
    <w:rsid w:val="001D770E"/>
    <w:rsid w:val="001E3D1B"/>
    <w:rsid w:val="001E63BC"/>
    <w:rsid w:val="001E6D48"/>
    <w:rsid w:val="001F3800"/>
    <w:rsid w:val="001F3BB6"/>
    <w:rsid w:val="001F49CE"/>
    <w:rsid w:val="00200533"/>
    <w:rsid w:val="00200632"/>
    <w:rsid w:val="00201D07"/>
    <w:rsid w:val="002023F7"/>
    <w:rsid w:val="0020274C"/>
    <w:rsid w:val="0020436B"/>
    <w:rsid w:val="00204787"/>
    <w:rsid w:val="002066A5"/>
    <w:rsid w:val="002066C4"/>
    <w:rsid w:val="00206E2C"/>
    <w:rsid w:val="0021031D"/>
    <w:rsid w:val="00211691"/>
    <w:rsid w:val="00211D65"/>
    <w:rsid w:val="00212511"/>
    <w:rsid w:val="002178A1"/>
    <w:rsid w:val="00220327"/>
    <w:rsid w:val="002207E0"/>
    <w:rsid w:val="00225673"/>
    <w:rsid w:val="002274A8"/>
    <w:rsid w:val="00227E66"/>
    <w:rsid w:val="00232186"/>
    <w:rsid w:val="00232C27"/>
    <w:rsid w:val="002337C4"/>
    <w:rsid w:val="00233AF5"/>
    <w:rsid w:val="00233B5B"/>
    <w:rsid w:val="00234B68"/>
    <w:rsid w:val="002360E7"/>
    <w:rsid w:val="00236E71"/>
    <w:rsid w:val="00237E90"/>
    <w:rsid w:val="00237F0F"/>
    <w:rsid w:val="002417F9"/>
    <w:rsid w:val="0024202C"/>
    <w:rsid w:val="002420C7"/>
    <w:rsid w:val="00242837"/>
    <w:rsid w:val="00243176"/>
    <w:rsid w:val="002461CB"/>
    <w:rsid w:val="002468D8"/>
    <w:rsid w:val="00247CA1"/>
    <w:rsid w:val="00247D54"/>
    <w:rsid w:val="0025094D"/>
    <w:rsid w:val="00251ECE"/>
    <w:rsid w:val="0025251E"/>
    <w:rsid w:val="0025521D"/>
    <w:rsid w:val="002552B3"/>
    <w:rsid w:val="00256CC3"/>
    <w:rsid w:val="002620F7"/>
    <w:rsid w:val="002627F1"/>
    <w:rsid w:val="002650E4"/>
    <w:rsid w:val="00265AB3"/>
    <w:rsid w:val="002667CE"/>
    <w:rsid w:val="00267DF8"/>
    <w:rsid w:val="00272EC7"/>
    <w:rsid w:val="00273065"/>
    <w:rsid w:val="0027542F"/>
    <w:rsid w:val="00275BE6"/>
    <w:rsid w:val="0027717F"/>
    <w:rsid w:val="002821DC"/>
    <w:rsid w:val="00283869"/>
    <w:rsid w:val="00283C63"/>
    <w:rsid w:val="00284479"/>
    <w:rsid w:val="00286835"/>
    <w:rsid w:val="00286C83"/>
    <w:rsid w:val="00286DB4"/>
    <w:rsid w:val="002873D6"/>
    <w:rsid w:val="00291AAD"/>
    <w:rsid w:val="00292FD7"/>
    <w:rsid w:val="0029380C"/>
    <w:rsid w:val="002A3D28"/>
    <w:rsid w:val="002A4FE2"/>
    <w:rsid w:val="002B059B"/>
    <w:rsid w:val="002B0EBA"/>
    <w:rsid w:val="002B1C09"/>
    <w:rsid w:val="002B4184"/>
    <w:rsid w:val="002C0D13"/>
    <w:rsid w:val="002C524F"/>
    <w:rsid w:val="002D3880"/>
    <w:rsid w:val="002D54D4"/>
    <w:rsid w:val="002E5712"/>
    <w:rsid w:val="002E586B"/>
    <w:rsid w:val="002E6595"/>
    <w:rsid w:val="002F1912"/>
    <w:rsid w:val="002F20B7"/>
    <w:rsid w:val="002F4709"/>
    <w:rsid w:val="002F6DA2"/>
    <w:rsid w:val="002F7273"/>
    <w:rsid w:val="002F786D"/>
    <w:rsid w:val="003021B7"/>
    <w:rsid w:val="00307291"/>
    <w:rsid w:val="00307AED"/>
    <w:rsid w:val="003120B3"/>
    <w:rsid w:val="003137C0"/>
    <w:rsid w:val="00313FC3"/>
    <w:rsid w:val="003145D2"/>
    <w:rsid w:val="003166F5"/>
    <w:rsid w:val="003175CD"/>
    <w:rsid w:val="00322B1F"/>
    <w:rsid w:val="0032308C"/>
    <w:rsid w:val="003247A8"/>
    <w:rsid w:val="0032556D"/>
    <w:rsid w:val="003260D1"/>
    <w:rsid w:val="0032698D"/>
    <w:rsid w:val="003277D3"/>
    <w:rsid w:val="0033149E"/>
    <w:rsid w:val="00331693"/>
    <w:rsid w:val="003324E6"/>
    <w:rsid w:val="003338DC"/>
    <w:rsid w:val="00333A18"/>
    <w:rsid w:val="0033560C"/>
    <w:rsid w:val="0033623C"/>
    <w:rsid w:val="00337947"/>
    <w:rsid w:val="00340745"/>
    <w:rsid w:val="0034276C"/>
    <w:rsid w:val="00342BDF"/>
    <w:rsid w:val="003436E1"/>
    <w:rsid w:val="003446B3"/>
    <w:rsid w:val="00345BDC"/>
    <w:rsid w:val="003469D7"/>
    <w:rsid w:val="00346E88"/>
    <w:rsid w:val="003470EA"/>
    <w:rsid w:val="00347738"/>
    <w:rsid w:val="00347B10"/>
    <w:rsid w:val="00350E9D"/>
    <w:rsid w:val="00354257"/>
    <w:rsid w:val="00354F57"/>
    <w:rsid w:val="0035550D"/>
    <w:rsid w:val="00356504"/>
    <w:rsid w:val="00360930"/>
    <w:rsid w:val="00360AD1"/>
    <w:rsid w:val="00365A4E"/>
    <w:rsid w:val="00372F0D"/>
    <w:rsid w:val="00373848"/>
    <w:rsid w:val="003752DD"/>
    <w:rsid w:val="0037672F"/>
    <w:rsid w:val="003772B9"/>
    <w:rsid w:val="003779FF"/>
    <w:rsid w:val="0038107B"/>
    <w:rsid w:val="003814F2"/>
    <w:rsid w:val="00382C9E"/>
    <w:rsid w:val="0038744C"/>
    <w:rsid w:val="003904ED"/>
    <w:rsid w:val="00393E5B"/>
    <w:rsid w:val="0039455F"/>
    <w:rsid w:val="00394BEC"/>
    <w:rsid w:val="003958B5"/>
    <w:rsid w:val="00395AE6"/>
    <w:rsid w:val="00395F31"/>
    <w:rsid w:val="003A0E3F"/>
    <w:rsid w:val="003A2143"/>
    <w:rsid w:val="003A2492"/>
    <w:rsid w:val="003A31ED"/>
    <w:rsid w:val="003A51F8"/>
    <w:rsid w:val="003A70D8"/>
    <w:rsid w:val="003B015D"/>
    <w:rsid w:val="003B1055"/>
    <w:rsid w:val="003B32FA"/>
    <w:rsid w:val="003B485D"/>
    <w:rsid w:val="003B6D9F"/>
    <w:rsid w:val="003B6DCB"/>
    <w:rsid w:val="003B7132"/>
    <w:rsid w:val="003C1717"/>
    <w:rsid w:val="003C1B40"/>
    <w:rsid w:val="003C3255"/>
    <w:rsid w:val="003C416A"/>
    <w:rsid w:val="003C4527"/>
    <w:rsid w:val="003C4903"/>
    <w:rsid w:val="003C588F"/>
    <w:rsid w:val="003C5B24"/>
    <w:rsid w:val="003C70E7"/>
    <w:rsid w:val="003C7C0F"/>
    <w:rsid w:val="003C7E11"/>
    <w:rsid w:val="003D08A3"/>
    <w:rsid w:val="003D2F6C"/>
    <w:rsid w:val="003D60CF"/>
    <w:rsid w:val="003D664F"/>
    <w:rsid w:val="003E01B7"/>
    <w:rsid w:val="003E3129"/>
    <w:rsid w:val="003E3A32"/>
    <w:rsid w:val="003E5FC8"/>
    <w:rsid w:val="003F4798"/>
    <w:rsid w:val="003F5199"/>
    <w:rsid w:val="003F7EB5"/>
    <w:rsid w:val="0040049F"/>
    <w:rsid w:val="0040178F"/>
    <w:rsid w:val="0040196C"/>
    <w:rsid w:val="00401DF5"/>
    <w:rsid w:val="004037CC"/>
    <w:rsid w:val="00403E74"/>
    <w:rsid w:val="0040463E"/>
    <w:rsid w:val="0040685A"/>
    <w:rsid w:val="00407C74"/>
    <w:rsid w:val="00407E69"/>
    <w:rsid w:val="004103D2"/>
    <w:rsid w:val="00411944"/>
    <w:rsid w:val="004119CF"/>
    <w:rsid w:val="00412694"/>
    <w:rsid w:val="00413E1C"/>
    <w:rsid w:val="0041666A"/>
    <w:rsid w:val="004174BC"/>
    <w:rsid w:val="00422804"/>
    <w:rsid w:val="00422F3E"/>
    <w:rsid w:val="00423060"/>
    <w:rsid w:val="00423357"/>
    <w:rsid w:val="00423C3A"/>
    <w:rsid w:val="00423DBA"/>
    <w:rsid w:val="00424114"/>
    <w:rsid w:val="0042492E"/>
    <w:rsid w:val="00426474"/>
    <w:rsid w:val="004270D5"/>
    <w:rsid w:val="00430301"/>
    <w:rsid w:val="00431B98"/>
    <w:rsid w:val="00432E53"/>
    <w:rsid w:val="004348A5"/>
    <w:rsid w:val="0043573E"/>
    <w:rsid w:val="00440586"/>
    <w:rsid w:val="004408C8"/>
    <w:rsid w:val="004412DE"/>
    <w:rsid w:val="00443C0E"/>
    <w:rsid w:val="00445155"/>
    <w:rsid w:val="00445307"/>
    <w:rsid w:val="00445427"/>
    <w:rsid w:val="00445637"/>
    <w:rsid w:val="00447AF2"/>
    <w:rsid w:val="00450CE6"/>
    <w:rsid w:val="00452B25"/>
    <w:rsid w:val="00454435"/>
    <w:rsid w:val="00455586"/>
    <w:rsid w:val="00455C93"/>
    <w:rsid w:val="00455EBD"/>
    <w:rsid w:val="00456876"/>
    <w:rsid w:val="00457C92"/>
    <w:rsid w:val="00460ED5"/>
    <w:rsid w:val="00465466"/>
    <w:rsid w:val="00465BC4"/>
    <w:rsid w:val="00467386"/>
    <w:rsid w:val="004678D3"/>
    <w:rsid w:val="00467BD4"/>
    <w:rsid w:val="004710D9"/>
    <w:rsid w:val="004712A1"/>
    <w:rsid w:val="00472308"/>
    <w:rsid w:val="00472471"/>
    <w:rsid w:val="0047283F"/>
    <w:rsid w:val="004738C5"/>
    <w:rsid w:val="0047588C"/>
    <w:rsid w:val="00475B95"/>
    <w:rsid w:val="00477054"/>
    <w:rsid w:val="0048173F"/>
    <w:rsid w:val="00483C2E"/>
    <w:rsid w:val="00483E38"/>
    <w:rsid w:val="0048749A"/>
    <w:rsid w:val="004879D7"/>
    <w:rsid w:val="00490275"/>
    <w:rsid w:val="00492B4B"/>
    <w:rsid w:val="00493B16"/>
    <w:rsid w:val="00493BD5"/>
    <w:rsid w:val="00494489"/>
    <w:rsid w:val="00497459"/>
    <w:rsid w:val="00497FA8"/>
    <w:rsid w:val="004A2351"/>
    <w:rsid w:val="004A284F"/>
    <w:rsid w:val="004A56C6"/>
    <w:rsid w:val="004A73B4"/>
    <w:rsid w:val="004B17B6"/>
    <w:rsid w:val="004B2374"/>
    <w:rsid w:val="004B5AEA"/>
    <w:rsid w:val="004B6437"/>
    <w:rsid w:val="004C125B"/>
    <w:rsid w:val="004C13CA"/>
    <w:rsid w:val="004C4145"/>
    <w:rsid w:val="004C4AA6"/>
    <w:rsid w:val="004D15BA"/>
    <w:rsid w:val="004D6338"/>
    <w:rsid w:val="004D67A2"/>
    <w:rsid w:val="004E0CA6"/>
    <w:rsid w:val="004E58D5"/>
    <w:rsid w:val="004E61D5"/>
    <w:rsid w:val="004F1314"/>
    <w:rsid w:val="004F3926"/>
    <w:rsid w:val="004F627D"/>
    <w:rsid w:val="005027B1"/>
    <w:rsid w:val="00502E8B"/>
    <w:rsid w:val="005032BC"/>
    <w:rsid w:val="00507471"/>
    <w:rsid w:val="00511494"/>
    <w:rsid w:val="0051152F"/>
    <w:rsid w:val="005123D9"/>
    <w:rsid w:val="00515BFC"/>
    <w:rsid w:val="005164AE"/>
    <w:rsid w:val="005211B9"/>
    <w:rsid w:val="00521E26"/>
    <w:rsid w:val="005244E1"/>
    <w:rsid w:val="005254E4"/>
    <w:rsid w:val="00525651"/>
    <w:rsid w:val="00525CE7"/>
    <w:rsid w:val="0052614E"/>
    <w:rsid w:val="005266BB"/>
    <w:rsid w:val="00527AB8"/>
    <w:rsid w:val="00530003"/>
    <w:rsid w:val="00530B09"/>
    <w:rsid w:val="00531A58"/>
    <w:rsid w:val="00531E9E"/>
    <w:rsid w:val="0053226D"/>
    <w:rsid w:val="005328C4"/>
    <w:rsid w:val="0053309A"/>
    <w:rsid w:val="00533CDE"/>
    <w:rsid w:val="00534304"/>
    <w:rsid w:val="005344CF"/>
    <w:rsid w:val="0053453F"/>
    <w:rsid w:val="0053525C"/>
    <w:rsid w:val="00540007"/>
    <w:rsid w:val="00541678"/>
    <w:rsid w:val="00543B56"/>
    <w:rsid w:val="00544689"/>
    <w:rsid w:val="005448C2"/>
    <w:rsid w:val="005448E9"/>
    <w:rsid w:val="005461EA"/>
    <w:rsid w:val="00546D8F"/>
    <w:rsid w:val="00550229"/>
    <w:rsid w:val="00550870"/>
    <w:rsid w:val="00551FFA"/>
    <w:rsid w:val="00553E6F"/>
    <w:rsid w:val="00556246"/>
    <w:rsid w:val="0056100E"/>
    <w:rsid w:val="005621BE"/>
    <w:rsid w:val="00562F38"/>
    <w:rsid w:val="00563883"/>
    <w:rsid w:val="00565877"/>
    <w:rsid w:val="005706DF"/>
    <w:rsid w:val="00572667"/>
    <w:rsid w:val="00580E1B"/>
    <w:rsid w:val="00580E8F"/>
    <w:rsid w:val="005815B9"/>
    <w:rsid w:val="00581743"/>
    <w:rsid w:val="00581A1E"/>
    <w:rsid w:val="00582FBD"/>
    <w:rsid w:val="00583395"/>
    <w:rsid w:val="00583CD1"/>
    <w:rsid w:val="00584195"/>
    <w:rsid w:val="0058448D"/>
    <w:rsid w:val="005847D0"/>
    <w:rsid w:val="00587113"/>
    <w:rsid w:val="00587B0B"/>
    <w:rsid w:val="0059257C"/>
    <w:rsid w:val="00592742"/>
    <w:rsid w:val="0059376E"/>
    <w:rsid w:val="00595C31"/>
    <w:rsid w:val="005974AF"/>
    <w:rsid w:val="00597716"/>
    <w:rsid w:val="005A02E9"/>
    <w:rsid w:val="005A0DEB"/>
    <w:rsid w:val="005A11FE"/>
    <w:rsid w:val="005A1251"/>
    <w:rsid w:val="005A39D9"/>
    <w:rsid w:val="005A7610"/>
    <w:rsid w:val="005A789A"/>
    <w:rsid w:val="005A7FC7"/>
    <w:rsid w:val="005B09E8"/>
    <w:rsid w:val="005B1202"/>
    <w:rsid w:val="005B161F"/>
    <w:rsid w:val="005B2A7B"/>
    <w:rsid w:val="005B485B"/>
    <w:rsid w:val="005B4DDF"/>
    <w:rsid w:val="005B6197"/>
    <w:rsid w:val="005B7B5D"/>
    <w:rsid w:val="005C1EC0"/>
    <w:rsid w:val="005C2685"/>
    <w:rsid w:val="005C3819"/>
    <w:rsid w:val="005C6FA0"/>
    <w:rsid w:val="005D1AB6"/>
    <w:rsid w:val="005D2B32"/>
    <w:rsid w:val="005D2FC9"/>
    <w:rsid w:val="005D41A7"/>
    <w:rsid w:val="005D4A22"/>
    <w:rsid w:val="005E07AD"/>
    <w:rsid w:val="005E0876"/>
    <w:rsid w:val="005E2142"/>
    <w:rsid w:val="005E2495"/>
    <w:rsid w:val="005E51DB"/>
    <w:rsid w:val="005E5459"/>
    <w:rsid w:val="005E5C5E"/>
    <w:rsid w:val="005E7206"/>
    <w:rsid w:val="005F0126"/>
    <w:rsid w:val="005F0A71"/>
    <w:rsid w:val="005F1613"/>
    <w:rsid w:val="005F3C5A"/>
    <w:rsid w:val="005F6F77"/>
    <w:rsid w:val="005F73D2"/>
    <w:rsid w:val="00600625"/>
    <w:rsid w:val="00603CFB"/>
    <w:rsid w:val="00607996"/>
    <w:rsid w:val="00611BD2"/>
    <w:rsid w:val="0061203A"/>
    <w:rsid w:val="00612FBC"/>
    <w:rsid w:val="0061376A"/>
    <w:rsid w:val="00616240"/>
    <w:rsid w:val="0061689B"/>
    <w:rsid w:val="00617B7F"/>
    <w:rsid w:val="00622533"/>
    <w:rsid w:val="0062300F"/>
    <w:rsid w:val="00623162"/>
    <w:rsid w:val="00625AB1"/>
    <w:rsid w:val="00626298"/>
    <w:rsid w:val="00627287"/>
    <w:rsid w:val="006310C3"/>
    <w:rsid w:val="00633DCB"/>
    <w:rsid w:val="0063456A"/>
    <w:rsid w:val="00634831"/>
    <w:rsid w:val="00635099"/>
    <w:rsid w:val="00636352"/>
    <w:rsid w:val="00636B86"/>
    <w:rsid w:val="006432A5"/>
    <w:rsid w:val="00644B62"/>
    <w:rsid w:val="00644E87"/>
    <w:rsid w:val="00646B9D"/>
    <w:rsid w:val="0064709B"/>
    <w:rsid w:val="00647A7C"/>
    <w:rsid w:val="00647EF9"/>
    <w:rsid w:val="0065074D"/>
    <w:rsid w:val="006509BB"/>
    <w:rsid w:val="00652501"/>
    <w:rsid w:val="0065340F"/>
    <w:rsid w:val="00654AD5"/>
    <w:rsid w:val="00655EA7"/>
    <w:rsid w:val="00656206"/>
    <w:rsid w:val="0065681D"/>
    <w:rsid w:val="0066144E"/>
    <w:rsid w:val="00662297"/>
    <w:rsid w:val="006651B7"/>
    <w:rsid w:val="00665C2F"/>
    <w:rsid w:val="006662ED"/>
    <w:rsid w:val="00666901"/>
    <w:rsid w:val="006716F2"/>
    <w:rsid w:val="00671A22"/>
    <w:rsid w:val="00671E0C"/>
    <w:rsid w:val="006721D1"/>
    <w:rsid w:val="006732E3"/>
    <w:rsid w:val="00675674"/>
    <w:rsid w:val="00680946"/>
    <w:rsid w:val="00680BF4"/>
    <w:rsid w:val="006821CA"/>
    <w:rsid w:val="00683F88"/>
    <w:rsid w:val="00685878"/>
    <w:rsid w:val="0068645C"/>
    <w:rsid w:val="006868A2"/>
    <w:rsid w:val="006900EF"/>
    <w:rsid w:val="00691AD6"/>
    <w:rsid w:val="0069385C"/>
    <w:rsid w:val="00693E9B"/>
    <w:rsid w:val="00693FC5"/>
    <w:rsid w:val="006941BF"/>
    <w:rsid w:val="00695D9C"/>
    <w:rsid w:val="00697761"/>
    <w:rsid w:val="006A12C3"/>
    <w:rsid w:val="006A287D"/>
    <w:rsid w:val="006A3079"/>
    <w:rsid w:val="006A3B02"/>
    <w:rsid w:val="006A7D34"/>
    <w:rsid w:val="006B42CE"/>
    <w:rsid w:val="006B61E6"/>
    <w:rsid w:val="006B7E20"/>
    <w:rsid w:val="006C2503"/>
    <w:rsid w:val="006C2B6A"/>
    <w:rsid w:val="006C2EE4"/>
    <w:rsid w:val="006C4906"/>
    <w:rsid w:val="006C61EB"/>
    <w:rsid w:val="006D10F2"/>
    <w:rsid w:val="006D2407"/>
    <w:rsid w:val="006D2E1E"/>
    <w:rsid w:val="006D539B"/>
    <w:rsid w:val="006E2D8E"/>
    <w:rsid w:val="006E355A"/>
    <w:rsid w:val="006E5BC2"/>
    <w:rsid w:val="006E68E9"/>
    <w:rsid w:val="006F0792"/>
    <w:rsid w:val="006F09AB"/>
    <w:rsid w:val="006F1939"/>
    <w:rsid w:val="006F397D"/>
    <w:rsid w:val="007052A2"/>
    <w:rsid w:val="00705521"/>
    <w:rsid w:val="00705C5A"/>
    <w:rsid w:val="007102E4"/>
    <w:rsid w:val="00710A94"/>
    <w:rsid w:val="007121DD"/>
    <w:rsid w:val="00715A99"/>
    <w:rsid w:val="00715E9B"/>
    <w:rsid w:val="00720C33"/>
    <w:rsid w:val="007241D1"/>
    <w:rsid w:val="00724719"/>
    <w:rsid w:val="00725883"/>
    <w:rsid w:val="0072621A"/>
    <w:rsid w:val="007275C8"/>
    <w:rsid w:val="00727857"/>
    <w:rsid w:val="00732459"/>
    <w:rsid w:val="00733112"/>
    <w:rsid w:val="007336DA"/>
    <w:rsid w:val="00733E99"/>
    <w:rsid w:val="007340AE"/>
    <w:rsid w:val="0073484F"/>
    <w:rsid w:val="0073701E"/>
    <w:rsid w:val="0073744F"/>
    <w:rsid w:val="00740083"/>
    <w:rsid w:val="007407C1"/>
    <w:rsid w:val="00740DCA"/>
    <w:rsid w:val="00741962"/>
    <w:rsid w:val="00741CB1"/>
    <w:rsid w:val="0074231B"/>
    <w:rsid w:val="007429CC"/>
    <w:rsid w:val="00754AE9"/>
    <w:rsid w:val="007553ED"/>
    <w:rsid w:val="00755521"/>
    <w:rsid w:val="007559C4"/>
    <w:rsid w:val="00756EF4"/>
    <w:rsid w:val="00756F90"/>
    <w:rsid w:val="00757420"/>
    <w:rsid w:val="00757F64"/>
    <w:rsid w:val="007607BE"/>
    <w:rsid w:val="007610BA"/>
    <w:rsid w:val="00761692"/>
    <w:rsid w:val="00764500"/>
    <w:rsid w:val="007645B5"/>
    <w:rsid w:val="00764BD3"/>
    <w:rsid w:val="00764CFD"/>
    <w:rsid w:val="007658BF"/>
    <w:rsid w:val="00765F71"/>
    <w:rsid w:val="00771461"/>
    <w:rsid w:val="00773A14"/>
    <w:rsid w:val="007757E2"/>
    <w:rsid w:val="0078044E"/>
    <w:rsid w:val="00780ED7"/>
    <w:rsid w:val="0078230B"/>
    <w:rsid w:val="0078388A"/>
    <w:rsid w:val="00783D5F"/>
    <w:rsid w:val="0078439E"/>
    <w:rsid w:val="007849A5"/>
    <w:rsid w:val="00785924"/>
    <w:rsid w:val="00786456"/>
    <w:rsid w:val="0079035F"/>
    <w:rsid w:val="007923CD"/>
    <w:rsid w:val="007957DE"/>
    <w:rsid w:val="00797A68"/>
    <w:rsid w:val="00797E70"/>
    <w:rsid w:val="007A032E"/>
    <w:rsid w:val="007A09A1"/>
    <w:rsid w:val="007A6725"/>
    <w:rsid w:val="007A6BFE"/>
    <w:rsid w:val="007A7403"/>
    <w:rsid w:val="007B0008"/>
    <w:rsid w:val="007B1150"/>
    <w:rsid w:val="007B3CE6"/>
    <w:rsid w:val="007B3DAE"/>
    <w:rsid w:val="007B48FE"/>
    <w:rsid w:val="007B67B9"/>
    <w:rsid w:val="007B6E44"/>
    <w:rsid w:val="007C0AD7"/>
    <w:rsid w:val="007C0CD6"/>
    <w:rsid w:val="007C1A33"/>
    <w:rsid w:val="007C1DB7"/>
    <w:rsid w:val="007C2059"/>
    <w:rsid w:val="007C2158"/>
    <w:rsid w:val="007C4ED9"/>
    <w:rsid w:val="007C66F3"/>
    <w:rsid w:val="007D32D4"/>
    <w:rsid w:val="007D3899"/>
    <w:rsid w:val="007D4405"/>
    <w:rsid w:val="007D68FA"/>
    <w:rsid w:val="007D74F2"/>
    <w:rsid w:val="007E1BC8"/>
    <w:rsid w:val="007E214C"/>
    <w:rsid w:val="007E4AB1"/>
    <w:rsid w:val="007E6FA7"/>
    <w:rsid w:val="007F5E69"/>
    <w:rsid w:val="007F6FEA"/>
    <w:rsid w:val="007F7C5D"/>
    <w:rsid w:val="0080401F"/>
    <w:rsid w:val="00807A36"/>
    <w:rsid w:val="00807E4D"/>
    <w:rsid w:val="0081056C"/>
    <w:rsid w:val="00810A0A"/>
    <w:rsid w:val="00811393"/>
    <w:rsid w:val="00811867"/>
    <w:rsid w:val="00811C8B"/>
    <w:rsid w:val="00814F5C"/>
    <w:rsid w:val="00815961"/>
    <w:rsid w:val="008169E2"/>
    <w:rsid w:val="008176A4"/>
    <w:rsid w:val="00820EA2"/>
    <w:rsid w:val="00820F4F"/>
    <w:rsid w:val="0082151D"/>
    <w:rsid w:val="008215C6"/>
    <w:rsid w:val="008216F7"/>
    <w:rsid w:val="008221AE"/>
    <w:rsid w:val="0082377E"/>
    <w:rsid w:val="00823A46"/>
    <w:rsid w:val="0082696A"/>
    <w:rsid w:val="008277C7"/>
    <w:rsid w:val="0083240A"/>
    <w:rsid w:val="0083659A"/>
    <w:rsid w:val="008367D7"/>
    <w:rsid w:val="00841CB4"/>
    <w:rsid w:val="008420D9"/>
    <w:rsid w:val="00844202"/>
    <w:rsid w:val="00845C6F"/>
    <w:rsid w:val="00850A3E"/>
    <w:rsid w:val="0085473F"/>
    <w:rsid w:val="00860CCD"/>
    <w:rsid w:val="00862B15"/>
    <w:rsid w:val="00865194"/>
    <w:rsid w:val="00865B7B"/>
    <w:rsid w:val="00866B02"/>
    <w:rsid w:val="00873DED"/>
    <w:rsid w:val="00875160"/>
    <w:rsid w:val="008753BE"/>
    <w:rsid w:val="008757B2"/>
    <w:rsid w:val="008762E1"/>
    <w:rsid w:val="00876795"/>
    <w:rsid w:val="00877390"/>
    <w:rsid w:val="00883730"/>
    <w:rsid w:val="0088395F"/>
    <w:rsid w:val="00884ED2"/>
    <w:rsid w:val="00884F46"/>
    <w:rsid w:val="008855B4"/>
    <w:rsid w:val="00887E0A"/>
    <w:rsid w:val="00890373"/>
    <w:rsid w:val="00890A0C"/>
    <w:rsid w:val="008928A3"/>
    <w:rsid w:val="008929DB"/>
    <w:rsid w:val="00894C7E"/>
    <w:rsid w:val="008A208C"/>
    <w:rsid w:val="008A2764"/>
    <w:rsid w:val="008A2FE2"/>
    <w:rsid w:val="008A55C8"/>
    <w:rsid w:val="008A581D"/>
    <w:rsid w:val="008A5933"/>
    <w:rsid w:val="008A6DFF"/>
    <w:rsid w:val="008B0F0B"/>
    <w:rsid w:val="008B15D4"/>
    <w:rsid w:val="008B2B78"/>
    <w:rsid w:val="008B334D"/>
    <w:rsid w:val="008B34CA"/>
    <w:rsid w:val="008B4953"/>
    <w:rsid w:val="008B62BA"/>
    <w:rsid w:val="008B669E"/>
    <w:rsid w:val="008B7B67"/>
    <w:rsid w:val="008C0472"/>
    <w:rsid w:val="008C44A7"/>
    <w:rsid w:val="008C719D"/>
    <w:rsid w:val="008C7EBB"/>
    <w:rsid w:val="008D123E"/>
    <w:rsid w:val="008D506C"/>
    <w:rsid w:val="008D6323"/>
    <w:rsid w:val="008E00CC"/>
    <w:rsid w:val="008E0ECB"/>
    <w:rsid w:val="008E4B80"/>
    <w:rsid w:val="008E6A97"/>
    <w:rsid w:val="008E7593"/>
    <w:rsid w:val="008F0C6B"/>
    <w:rsid w:val="008F340F"/>
    <w:rsid w:val="008F5DE0"/>
    <w:rsid w:val="008F778A"/>
    <w:rsid w:val="008F7BDB"/>
    <w:rsid w:val="00900FBF"/>
    <w:rsid w:val="0090566A"/>
    <w:rsid w:val="00906C64"/>
    <w:rsid w:val="00907156"/>
    <w:rsid w:val="0091155F"/>
    <w:rsid w:val="00911782"/>
    <w:rsid w:val="009121AB"/>
    <w:rsid w:val="009122A1"/>
    <w:rsid w:val="00913D7F"/>
    <w:rsid w:val="00917765"/>
    <w:rsid w:val="00926CB9"/>
    <w:rsid w:val="009275DB"/>
    <w:rsid w:val="00931316"/>
    <w:rsid w:val="00934C90"/>
    <w:rsid w:val="00935931"/>
    <w:rsid w:val="00936573"/>
    <w:rsid w:val="0094521A"/>
    <w:rsid w:val="0094730E"/>
    <w:rsid w:val="0095110C"/>
    <w:rsid w:val="0095127F"/>
    <w:rsid w:val="009523C8"/>
    <w:rsid w:val="009525BB"/>
    <w:rsid w:val="0095316F"/>
    <w:rsid w:val="00955C59"/>
    <w:rsid w:val="0095742D"/>
    <w:rsid w:val="00960025"/>
    <w:rsid w:val="009607CF"/>
    <w:rsid w:val="009616BA"/>
    <w:rsid w:val="009628D3"/>
    <w:rsid w:val="00962D66"/>
    <w:rsid w:val="00963041"/>
    <w:rsid w:val="00963386"/>
    <w:rsid w:val="009644A7"/>
    <w:rsid w:val="0096673E"/>
    <w:rsid w:val="0096737A"/>
    <w:rsid w:val="00970489"/>
    <w:rsid w:val="0097197B"/>
    <w:rsid w:val="00973341"/>
    <w:rsid w:val="009734C3"/>
    <w:rsid w:val="009753AA"/>
    <w:rsid w:val="00980024"/>
    <w:rsid w:val="00981278"/>
    <w:rsid w:val="00982FE9"/>
    <w:rsid w:val="00984FC7"/>
    <w:rsid w:val="009853A0"/>
    <w:rsid w:val="0098552F"/>
    <w:rsid w:val="00986755"/>
    <w:rsid w:val="0098681B"/>
    <w:rsid w:val="009868CA"/>
    <w:rsid w:val="00990D17"/>
    <w:rsid w:val="009921AE"/>
    <w:rsid w:val="0099372F"/>
    <w:rsid w:val="00993E84"/>
    <w:rsid w:val="00995D88"/>
    <w:rsid w:val="0099619E"/>
    <w:rsid w:val="00996856"/>
    <w:rsid w:val="00996E74"/>
    <w:rsid w:val="009A0471"/>
    <w:rsid w:val="009A45D6"/>
    <w:rsid w:val="009A5E52"/>
    <w:rsid w:val="009A7397"/>
    <w:rsid w:val="009A77B6"/>
    <w:rsid w:val="009B24EC"/>
    <w:rsid w:val="009B2F48"/>
    <w:rsid w:val="009B6713"/>
    <w:rsid w:val="009B68A1"/>
    <w:rsid w:val="009B71DC"/>
    <w:rsid w:val="009C1614"/>
    <w:rsid w:val="009C3A7F"/>
    <w:rsid w:val="009C5718"/>
    <w:rsid w:val="009C6FA2"/>
    <w:rsid w:val="009D04CB"/>
    <w:rsid w:val="009D3E54"/>
    <w:rsid w:val="009D3FA8"/>
    <w:rsid w:val="009D57B2"/>
    <w:rsid w:val="009E1530"/>
    <w:rsid w:val="009E1ED8"/>
    <w:rsid w:val="009E2496"/>
    <w:rsid w:val="009E2F20"/>
    <w:rsid w:val="009E3812"/>
    <w:rsid w:val="009E43DC"/>
    <w:rsid w:val="009E7F88"/>
    <w:rsid w:val="009F003E"/>
    <w:rsid w:val="009F1C09"/>
    <w:rsid w:val="009F3121"/>
    <w:rsid w:val="009F4327"/>
    <w:rsid w:val="009F50EA"/>
    <w:rsid w:val="009F5E2D"/>
    <w:rsid w:val="009F7031"/>
    <w:rsid w:val="00A01912"/>
    <w:rsid w:val="00A024EC"/>
    <w:rsid w:val="00A046C8"/>
    <w:rsid w:val="00A06DC5"/>
    <w:rsid w:val="00A11CAC"/>
    <w:rsid w:val="00A12D01"/>
    <w:rsid w:val="00A13321"/>
    <w:rsid w:val="00A134D9"/>
    <w:rsid w:val="00A145A8"/>
    <w:rsid w:val="00A161E3"/>
    <w:rsid w:val="00A220FF"/>
    <w:rsid w:val="00A22204"/>
    <w:rsid w:val="00A222B3"/>
    <w:rsid w:val="00A22E5C"/>
    <w:rsid w:val="00A24F90"/>
    <w:rsid w:val="00A32081"/>
    <w:rsid w:val="00A32312"/>
    <w:rsid w:val="00A3334C"/>
    <w:rsid w:val="00A3367C"/>
    <w:rsid w:val="00A34090"/>
    <w:rsid w:val="00A346B0"/>
    <w:rsid w:val="00A3543B"/>
    <w:rsid w:val="00A35D5F"/>
    <w:rsid w:val="00A3667E"/>
    <w:rsid w:val="00A37624"/>
    <w:rsid w:val="00A43812"/>
    <w:rsid w:val="00A45401"/>
    <w:rsid w:val="00A46161"/>
    <w:rsid w:val="00A46D08"/>
    <w:rsid w:val="00A5003C"/>
    <w:rsid w:val="00A513D3"/>
    <w:rsid w:val="00A52F4D"/>
    <w:rsid w:val="00A53D3B"/>
    <w:rsid w:val="00A55EED"/>
    <w:rsid w:val="00A56740"/>
    <w:rsid w:val="00A56895"/>
    <w:rsid w:val="00A578BB"/>
    <w:rsid w:val="00A5791B"/>
    <w:rsid w:val="00A61E42"/>
    <w:rsid w:val="00A63457"/>
    <w:rsid w:val="00A65A1C"/>
    <w:rsid w:val="00A6696E"/>
    <w:rsid w:val="00A7252B"/>
    <w:rsid w:val="00A75951"/>
    <w:rsid w:val="00A82E8B"/>
    <w:rsid w:val="00A83588"/>
    <w:rsid w:val="00A83604"/>
    <w:rsid w:val="00A83F95"/>
    <w:rsid w:val="00A85A6D"/>
    <w:rsid w:val="00A86858"/>
    <w:rsid w:val="00A9141E"/>
    <w:rsid w:val="00A915D5"/>
    <w:rsid w:val="00A93ABE"/>
    <w:rsid w:val="00A9413C"/>
    <w:rsid w:val="00A94B9A"/>
    <w:rsid w:val="00A9562A"/>
    <w:rsid w:val="00AA004F"/>
    <w:rsid w:val="00AA09BB"/>
    <w:rsid w:val="00AA2CE0"/>
    <w:rsid w:val="00AA4C7A"/>
    <w:rsid w:val="00AA6D73"/>
    <w:rsid w:val="00AB0314"/>
    <w:rsid w:val="00AB06D3"/>
    <w:rsid w:val="00AB34E7"/>
    <w:rsid w:val="00AB3733"/>
    <w:rsid w:val="00AB5BE7"/>
    <w:rsid w:val="00AB6243"/>
    <w:rsid w:val="00AB62DC"/>
    <w:rsid w:val="00AB6923"/>
    <w:rsid w:val="00AC0949"/>
    <w:rsid w:val="00AC0E44"/>
    <w:rsid w:val="00AC3227"/>
    <w:rsid w:val="00AC3253"/>
    <w:rsid w:val="00AC570C"/>
    <w:rsid w:val="00AC73AC"/>
    <w:rsid w:val="00AD2BE7"/>
    <w:rsid w:val="00AD3AB8"/>
    <w:rsid w:val="00AD5A25"/>
    <w:rsid w:val="00AD7031"/>
    <w:rsid w:val="00AD78BA"/>
    <w:rsid w:val="00AF0283"/>
    <w:rsid w:val="00AF2410"/>
    <w:rsid w:val="00AF2721"/>
    <w:rsid w:val="00AF3CF3"/>
    <w:rsid w:val="00AF4FA3"/>
    <w:rsid w:val="00AF55F2"/>
    <w:rsid w:val="00AF71B2"/>
    <w:rsid w:val="00B0050E"/>
    <w:rsid w:val="00B03F69"/>
    <w:rsid w:val="00B04DD6"/>
    <w:rsid w:val="00B06479"/>
    <w:rsid w:val="00B07F25"/>
    <w:rsid w:val="00B11DE2"/>
    <w:rsid w:val="00B12981"/>
    <w:rsid w:val="00B16514"/>
    <w:rsid w:val="00B22377"/>
    <w:rsid w:val="00B223DC"/>
    <w:rsid w:val="00B24CB9"/>
    <w:rsid w:val="00B2754B"/>
    <w:rsid w:val="00B337EA"/>
    <w:rsid w:val="00B34738"/>
    <w:rsid w:val="00B36B89"/>
    <w:rsid w:val="00B37982"/>
    <w:rsid w:val="00B41447"/>
    <w:rsid w:val="00B42035"/>
    <w:rsid w:val="00B4258C"/>
    <w:rsid w:val="00B42862"/>
    <w:rsid w:val="00B42AE9"/>
    <w:rsid w:val="00B43BC5"/>
    <w:rsid w:val="00B44354"/>
    <w:rsid w:val="00B4513C"/>
    <w:rsid w:val="00B452D3"/>
    <w:rsid w:val="00B46028"/>
    <w:rsid w:val="00B46168"/>
    <w:rsid w:val="00B51D9A"/>
    <w:rsid w:val="00B52297"/>
    <w:rsid w:val="00B52767"/>
    <w:rsid w:val="00B5367A"/>
    <w:rsid w:val="00B559F0"/>
    <w:rsid w:val="00B55A4A"/>
    <w:rsid w:val="00B55CE4"/>
    <w:rsid w:val="00B574A3"/>
    <w:rsid w:val="00B6173F"/>
    <w:rsid w:val="00B63BEF"/>
    <w:rsid w:val="00B63E36"/>
    <w:rsid w:val="00B653B9"/>
    <w:rsid w:val="00B70586"/>
    <w:rsid w:val="00B7152D"/>
    <w:rsid w:val="00B7265A"/>
    <w:rsid w:val="00B74088"/>
    <w:rsid w:val="00B742FC"/>
    <w:rsid w:val="00B82FF1"/>
    <w:rsid w:val="00B830EF"/>
    <w:rsid w:val="00B83407"/>
    <w:rsid w:val="00B83FBD"/>
    <w:rsid w:val="00B84BF5"/>
    <w:rsid w:val="00B8724E"/>
    <w:rsid w:val="00B90D68"/>
    <w:rsid w:val="00B90DED"/>
    <w:rsid w:val="00B91E35"/>
    <w:rsid w:val="00B930EA"/>
    <w:rsid w:val="00B9345F"/>
    <w:rsid w:val="00B935D6"/>
    <w:rsid w:val="00B95275"/>
    <w:rsid w:val="00B953C1"/>
    <w:rsid w:val="00B953D7"/>
    <w:rsid w:val="00B954DD"/>
    <w:rsid w:val="00B968C5"/>
    <w:rsid w:val="00B97857"/>
    <w:rsid w:val="00BA41D0"/>
    <w:rsid w:val="00BA727E"/>
    <w:rsid w:val="00BB02ED"/>
    <w:rsid w:val="00BB0AED"/>
    <w:rsid w:val="00BB1C85"/>
    <w:rsid w:val="00BB2709"/>
    <w:rsid w:val="00BB3917"/>
    <w:rsid w:val="00BB3BE0"/>
    <w:rsid w:val="00BB417B"/>
    <w:rsid w:val="00BB64FD"/>
    <w:rsid w:val="00BC0AFC"/>
    <w:rsid w:val="00BC0EC1"/>
    <w:rsid w:val="00BC34C2"/>
    <w:rsid w:val="00BC38C3"/>
    <w:rsid w:val="00BC3E54"/>
    <w:rsid w:val="00BC5DC2"/>
    <w:rsid w:val="00BC70B7"/>
    <w:rsid w:val="00BC7EED"/>
    <w:rsid w:val="00BD051F"/>
    <w:rsid w:val="00BD057C"/>
    <w:rsid w:val="00BD15CA"/>
    <w:rsid w:val="00BD2092"/>
    <w:rsid w:val="00BD2683"/>
    <w:rsid w:val="00BD3E3A"/>
    <w:rsid w:val="00BD43D9"/>
    <w:rsid w:val="00BD6B78"/>
    <w:rsid w:val="00BD6BAA"/>
    <w:rsid w:val="00BE03FE"/>
    <w:rsid w:val="00BE16B3"/>
    <w:rsid w:val="00BE4CDE"/>
    <w:rsid w:val="00BF0537"/>
    <w:rsid w:val="00BF08B8"/>
    <w:rsid w:val="00BF0D6C"/>
    <w:rsid w:val="00BF3374"/>
    <w:rsid w:val="00BF34EA"/>
    <w:rsid w:val="00BF42AC"/>
    <w:rsid w:val="00BF4F45"/>
    <w:rsid w:val="00BF5F76"/>
    <w:rsid w:val="00BF74B8"/>
    <w:rsid w:val="00C05410"/>
    <w:rsid w:val="00C05AD5"/>
    <w:rsid w:val="00C065CD"/>
    <w:rsid w:val="00C106A4"/>
    <w:rsid w:val="00C17CDA"/>
    <w:rsid w:val="00C17F46"/>
    <w:rsid w:val="00C22B9E"/>
    <w:rsid w:val="00C22D65"/>
    <w:rsid w:val="00C22E18"/>
    <w:rsid w:val="00C2363B"/>
    <w:rsid w:val="00C23848"/>
    <w:rsid w:val="00C2586F"/>
    <w:rsid w:val="00C27704"/>
    <w:rsid w:val="00C3031F"/>
    <w:rsid w:val="00C30E63"/>
    <w:rsid w:val="00C31E27"/>
    <w:rsid w:val="00C3313F"/>
    <w:rsid w:val="00C349B9"/>
    <w:rsid w:val="00C35A8B"/>
    <w:rsid w:val="00C363CB"/>
    <w:rsid w:val="00C379BA"/>
    <w:rsid w:val="00C40653"/>
    <w:rsid w:val="00C4069B"/>
    <w:rsid w:val="00C4084C"/>
    <w:rsid w:val="00C40988"/>
    <w:rsid w:val="00C422A4"/>
    <w:rsid w:val="00C42767"/>
    <w:rsid w:val="00C44A66"/>
    <w:rsid w:val="00C450C1"/>
    <w:rsid w:val="00C464F5"/>
    <w:rsid w:val="00C46650"/>
    <w:rsid w:val="00C47CFA"/>
    <w:rsid w:val="00C50ABF"/>
    <w:rsid w:val="00C53A8A"/>
    <w:rsid w:val="00C5657B"/>
    <w:rsid w:val="00C578FA"/>
    <w:rsid w:val="00C60859"/>
    <w:rsid w:val="00C61454"/>
    <w:rsid w:val="00C66763"/>
    <w:rsid w:val="00C669B3"/>
    <w:rsid w:val="00C67B89"/>
    <w:rsid w:val="00C70000"/>
    <w:rsid w:val="00C72F68"/>
    <w:rsid w:val="00C7789D"/>
    <w:rsid w:val="00C77BD3"/>
    <w:rsid w:val="00C813BF"/>
    <w:rsid w:val="00C818E6"/>
    <w:rsid w:val="00C853CC"/>
    <w:rsid w:val="00C907B8"/>
    <w:rsid w:val="00C935AD"/>
    <w:rsid w:val="00CA26D8"/>
    <w:rsid w:val="00CA294C"/>
    <w:rsid w:val="00CA4B28"/>
    <w:rsid w:val="00CB4DEB"/>
    <w:rsid w:val="00CB53B7"/>
    <w:rsid w:val="00CB5CAA"/>
    <w:rsid w:val="00CB61A1"/>
    <w:rsid w:val="00CB6BCD"/>
    <w:rsid w:val="00CB74E1"/>
    <w:rsid w:val="00CB7AF4"/>
    <w:rsid w:val="00CC17A6"/>
    <w:rsid w:val="00CC2BAF"/>
    <w:rsid w:val="00CC72B9"/>
    <w:rsid w:val="00CD184D"/>
    <w:rsid w:val="00CD1A1E"/>
    <w:rsid w:val="00CD1BC1"/>
    <w:rsid w:val="00CD1E2D"/>
    <w:rsid w:val="00CD214C"/>
    <w:rsid w:val="00CD2DE4"/>
    <w:rsid w:val="00CD3FE5"/>
    <w:rsid w:val="00CD5A09"/>
    <w:rsid w:val="00CD6098"/>
    <w:rsid w:val="00CD6BD2"/>
    <w:rsid w:val="00CD798B"/>
    <w:rsid w:val="00CE00A0"/>
    <w:rsid w:val="00CE2A50"/>
    <w:rsid w:val="00CE4AD6"/>
    <w:rsid w:val="00CE4E38"/>
    <w:rsid w:val="00CE6B6C"/>
    <w:rsid w:val="00CE78F0"/>
    <w:rsid w:val="00CF0330"/>
    <w:rsid w:val="00CF0BFF"/>
    <w:rsid w:val="00CF1B4B"/>
    <w:rsid w:val="00CF416E"/>
    <w:rsid w:val="00D00B03"/>
    <w:rsid w:val="00D0213C"/>
    <w:rsid w:val="00D02235"/>
    <w:rsid w:val="00D04D72"/>
    <w:rsid w:val="00D04FCD"/>
    <w:rsid w:val="00D114B8"/>
    <w:rsid w:val="00D161CB"/>
    <w:rsid w:val="00D16764"/>
    <w:rsid w:val="00D205CE"/>
    <w:rsid w:val="00D24A5D"/>
    <w:rsid w:val="00D25161"/>
    <w:rsid w:val="00D2699E"/>
    <w:rsid w:val="00D31CAC"/>
    <w:rsid w:val="00D34804"/>
    <w:rsid w:val="00D34B5F"/>
    <w:rsid w:val="00D355A8"/>
    <w:rsid w:val="00D37340"/>
    <w:rsid w:val="00D37C03"/>
    <w:rsid w:val="00D40858"/>
    <w:rsid w:val="00D41716"/>
    <w:rsid w:val="00D41F7D"/>
    <w:rsid w:val="00D427DA"/>
    <w:rsid w:val="00D42CF7"/>
    <w:rsid w:val="00D42F92"/>
    <w:rsid w:val="00D43C1B"/>
    <w:rsid w:val="00D44411"/>
    <w:rsid w:val="00D47A65"/>
    <w:rsid w:val="00D51BA7"/>
    <w:rsid w:val="00D51E38"/>
    <w:rsid w:val="00D52A53"/>
    <w:rsid w:val="00D5441F"/>
    <w:rsid w:val="00D550EB"/>
    <w:rsid w:val="00D554E0"/>
    <w:rsid w:val="00D55924"/>
    <w:rsid w:val="00D55E93"/>
    <w:rsid w:val="00D56C01"/>
    <w:rsid w:val="00D56EE3"/>
    <w:rsid w:val="00D57C89"/>
    <w:rsid w:val="00D60D53"/>
    <w:rsid w:val="00D611C2"/>
    <w:rsid w:val="00D61540"/>
    <w:rsid w:val="00D65297"/>
    <w:rsid w:val="00D701A2"/>
    <w:rsid w:val="00D77E8F"/>
    <w:rsid w:val="00D80410"/>
    <w:rsid w:val="00D82549"/>
    <w:rsid w:val="00D8278C"/>
    <w:rsid w:val="00D82EEB"/>
    <w:rsid w:val="00D83D08"/>
    <w:rsid w:val="00D86993"/>
    <w:rsid w:val="00D91C7F"/>
    <w:rsid w:val="00D920E1"/>
    <w:rsid w:val="00D92543"/>
    <w:rsid w:val="00D92834"/>
    <w:rsid w:val="00D93257"/>
    <w:rsid w:val="00D949BB"/>
    <w:rsid w:val="00D94AB8"/>
    <w:rsid w:val="00D94DA2"/>
    <w:rsid w:val="00D958BA"/>
    <w:rsid w:val="00D95D14"/>
    <w:rsid w:val="00D96548"/>
    <w:rsid w:val="00D96A9F"/>
    <w:rsid w:val="00D978F9"/>
    <w:rsid w:val="00DA04C2"/>
    <w:rsid w:val="00DA04E8"/>
    <w:rsid w:val="00DA20FE"/>
    <w:rsid w:val="00DA3BFC"/>
    <w:rsid w:val="00DA6FD3"/>
    <w:rsid w:val="00DA7C54"/>
    <w:rsid w:val="00DA7E10"/>
    <w:rsid w:val="00DB020E"/>
    <w:rsid w:val="00DB2690"/>
    <w:rsid w:val="00DB33EA"/>
    <w:rsid w:val="00DB4645"/>
    <w:rsid w:val="00DB606C"/>
    <w:rsid w:val="00DB6756"/>
    <w:rsid w:val="00DB69A5"/>
    <w:rsid w:val="00DB6EA4"/>
    <w:rsid w:val="00DB6FF9"/>
    <w:rsid w:val="00DB73E4"/>
    <w:rsid w:val="00DC000B"/>
    <w:rsid w:val="00DC000C"/>
    <w:rsid w:val="00DC2175"/>
    <w:rsid w:val="00DC3233"/>
    <w:rsid w:val="00DC4500"/>
    <w:rsid w:val="00DC50E9"/>
    <w:rsid w:val="00DC522A"/>
    <w:rsid w:val="00DC67CF"/>
    <w:rsid w:val="00DC6D0F"/>
    <w:rsid w:val="00DC76E8"/>
    <w:rsid w:val="00DC783E"/>
    <w:rsid w:val="00DD3180"/>
    <w:rsid w:val="00DD5F9A"/>
    <w:rsid w:val="00DD7A4C"/>
    <w:rsid w:val="00DE06E4"/>
    <w:rsid w:val="00DE0AB8"/>
    <w:rsid w:val="00DE0DE6"/>
    <w:rsid w:val="00DE255B"/>
    <w:rsid w:val="00DE305B"/>
    <w:rsid w:val="00DE3322"/>
    <w:rsid w:val="00DE4999"/>
    <w:rsid w:val="00DE4B1E"/>
    <w:rsid w:val="00DF002A"/>
    <w:rsid w:val="00DF2F7A"/>
    <w:rsid w:val="00DF7DB7"/>
    <w:rsid w:val="00E026F0"/>
    <w:rsid w:val="00E0538E"/>
    <w:rsid w:val="00E069E1"/>
    <w:rsid w:val="00E06A66"/>
    <w:rsid w:val="00E1096D"/>
    <w:rsid w:val="00E11744"/>
    <w:rsid w:val="00E11BCC"/>
    <w:rsid w:val="00E154A4"/>
    <w:rsid w:val="00E15D92"/>
    <w:rsid w:val="00E1732E"/>
    <w:rsid w:val="00E20850"/>
    <w:rsid w:val="00E217D8"/>
    <w:rsid w:val="00E2632A"/>
    <w:rsid w:val="00E27631"/>
    <w:rsid w:val="00E276B0"/>
    <w:rsid w:val="00E34480"/>
    <w:rsid w:val="00E361D3"/>
    <w:rsid w:val="00E407C0"/>
    <w:rsid w:val="00E41B91"/>
    <w:rsid w:val="00E423D0"/>
    <w:rsid w:val="00E46A02"/>
    <w:rsid w:val="00E51471"/>
    <w:rsid w:val="00E519CA"/>
    <w:rsid w:val="00E51D39"/>
    <w:rsid w:val="00E575AE"/>
    <w:rsid w:val="00E57A42"/>
    <w:rsid w:val="00E60DC6"/>
    <w:rsid w:val="00E710A2"/>
    <w:rsid w:val="00E7286B"/>
    <w:rsid w:val="00E745B3"/>
    <w:rsid w:val="00E75239"/>
    <w:rsid w:val="00E7552E"/>
    <w:rsid w:val="00E75F42"/>
    <w:rsid w:val="00E8268F"/>
    <w:rsid w:val="00E83B99"/>
    <w:rsid w:val="00E85354"/>
    <w:rsid w:val="00E85EB6"/>
    <w:rsid w:val="00E8667F"/>
    <w:rsid w:val="00E87319"/>
    <w:rsid w:val="00E91B87"/>
    <w:rsid w:val="00E92487"/>
    <w:rsid w:val="00E92650"/>
    <w:rsid w:val="00E9352C"/>
    <w:rsid w:val="00E93907"/>
    <w:rsid w:val="00E93930"/>
    <w:rsid w:val="00E94CC7"/>
    <w:rsid w:val="00E9599D"/>
    <w:rsid w:val="00E959DD"/>
    <w:rsid w:val="00E96288"/>
    <w:rsid w:val="00E968DD"/>
    <w:rsid w:val="00EA0482"/>
    <w:rsid w:val="00EA17BE"/>
    <w:rsid w:val="00EA1B6E"/>
    <w:rsid w:val="00EA22B6"/>
    <w:rsid w:val="00EA2CD3"/>
    <w:rsid w:val="00EA33F5"/>
    <w:rsid w:val="00EA5834"/>
    <w:rsid w:val="00EA5C50"/>
    <w:rsid w:val="00EB2816"/>
    <w:rsid w:val="00EB51D7"/>
    <w:rsid w:val="00EB78CB"/>
    <w:rsid w:val="00EC08D0"/>
    <w:rsid w:val="00EC20A2"/>
    <w:rsid w:val="00EC67C2"/>
    <w:rsid w:val="00EC79BE"/>
    <w:rsid w:val="00ED22B8"/>
    <w:rsid w:val="00ED4682"/>
    <w:rsid w:val="00ED5232"/>
    <w:rsid w:val="00ED6AF0"/>
    <w:rsid w:val="00EE025A"/>
    <w:rsid w:val="00EE3A71"/>
    <w:rsid w:val="00EE4682"/>
    <w:rsid w:val="00EE47FE"/>
    <w:rsid w:val="00EE4E57"/>
    <w:rsid w:val="00EE5A6C"/>
    <w:rsid w:val="00EE5CB3"/>
    <w:rsid w:val="00EE6FC8"/>
    <w:rsid w:val="00EF0842"/>
    <w:rsid w:val="00EF1283"/>
    <w:rsid w:val="00EF2033"/>
    <w:rsid w:val="00EF21D6"/>
    <w:rsid w:val="00EF4655"/>
    <w:rsid w:val="00EF6FEB"/>
    <w:rsid w:val="00EF7ACB"/>
    <w:rsid w:val="00F01680"/>
    <w:rsid w:val="00F02F3D"/>
    <w:rsid w:val="00F03E91"/>
    <w:rsid w:val="00F04CE7"/>
    <w:rsid w:val="00F05786"/>
    <w:rsid w:val="00F07802"/>
    <w:rsid w:val="00F102F8"/>
    <w:rsid w:val="00F1214B"/>
    <w:rsid w:val="00F1385E"/>
    <w:rsid w:val="00F1532C"/>
    <w:rsid w:val="00F16797"/>
    <w:rsid w:val="00F221DD"/>
    <w:rsid w:val="00F225BC"/>
    <w:rsid w:val="00F23216"/>
    <w:rsid w:val="00F27122"/>
    <w:rsid w:val="00F3110B"/>
    <w:rsid w:val="00F3136E"/>
    <w:rsid w:val="00F31847"/>
    <w:rsid w:val="00F336A8"/>
    <w:rsid w:val="00F33D8E"/>
    <w:rsid w:val="00F34543"/>
    <w:rsid w:val="00F3528F"/>
    <w:rsid w:val="00F355DC"/>
    <w:rsid w:val="00F35DE7"/>
    <w:rsid w:val="00F412C6"/>
    <w:rsid w:val="00F42593"/>
    <w:rsid w:val="00F426E4"/>
    <w:rsid w:val="00F431D9"/>
    <w:rsid w:val="00F45E07"/>
    <w:rsid w:val="00F46CAF"/>
    <w:rsid w:val="00F51085"/>
    <w:rsid w:val="00F54232"/>
    <w:rsid w:val="00F5674F"/>
    <w:rsid w:val="00F56FD6"/>
    <w:rsid w:val="00F575BC"/>
    <w:rsid w:val="00F6025C"/>
    <w:rsid w:val="00F614B8"/>
    <w:rsid w:val="00F63A8C"/>
    <w:rsid w:val="00F65BD3"/>
    <w:rsid w:val="00F65D32"/>
    <w:rsid w:val="00F65F09"/>
    <w:rsid w:val="00F732F9"/>
    <w:rsid w:val="00F737CC"/>
    <w:rsid w:val="00F73A91"/>
    <w:rsid w:val="00F74BB5"/>
    <w:rsid w:val="00F74BD6"/>
    <w:rsid w:val="00F76891"/>
    <w:rsid w:val="00F81492"/>
    <w:rsid w:val="00F83C2D"/>
    <w:rsid w:val="00F8529E"/>
    <w:rsid w:val="00F85A22"/>
    <w:rsid w:val="00F86FDB"/>
    <w:rsid w:val="00F87CC0"/>
    <w:rsid w:val="00F96AB9"/>
    <w:rsid w:val="00F9728D"/>
    <w:rsid w:val="00FA3837"/>
    <w:rsid w:val="00FA4C16"/>
    <w:rsid w:val="00FA6592"/>
    <w:rsid w:val="00FB1D5B"/>
    <w:rsid w:val="00FB36FA"/>
    <w:rsid w:val="00FB4039"/>
    <w:rsid w:val="00FC02AA"/>
    <w:rsid w:val="00FC2BD8"/>
    <w:rsid w:val="00FC3FFB"/>
    <w:rsid w:val="00FC5E7D"/>
    <w:rsid w:val="00FC66C4"/>
    <w:rsid w:val="00FD0DFC"/>
    <w:rsid w:val="00FD22C4"/>
    <w:rsid w:val="00FD2625"/>
    <w:rsid w:val="00FD5B35"/>
    <w:rsid w:val="00FD66F9"/>
    <w:rsid w:val="00FD7EBC"/>
    <w:rsid w:val="00FE024B"/>
    <w:rsid w:val="00FE126F"/>
    <w:rsid w:val="00FE14C1"/>
    <w:rsid w:val="00FE1BF6"/>
    <w:rsid w:val="00FE2396"/>
    <w:rsid w:val="00FE34FB"/>
    <w:rsid w:val="00FE46AD"/>
    <w:rsid w:val="00FE67FE"/>
    <w:rsid w:val="00FF016E"/>
    <w:rsid w:val="00FF31D6"/>
    <w:rsid w:val="00FF4689"/>
    <w:rsid w:val="00FF50E7"/>
    <w:rsid w:val="00FF6716"/>
    <w:rsid w:val="00FF6FAD"/>
    <w:rsid w:val="00FF7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121AB"/>
    <w:rPr>
      <w:sz w:val="24"/>
      <w:szCs w:val="24"/>
    </w:rPr>
  </w:style>
  <w:style w:type="paragraph" w:styleId="1">
    <w:name w:val="heading 1"/>
    <w:basedOn w:val="a0"/>
    <w:next w:val="a0"/>
    <w:qFormat/>
    <w:pPr>
      <w:keepNext/>
      <w:ind w:firstLine="709"/>
      <w:jc w:val="center"/>
      <w:outlineLvl w:val="0"/>
    </w:pPr>
    <w:rPr>
      <w:b/>
      <w:bCs/>
    </w:rPr>
  </w:style>
  <w:style w:type="paragraph" w:styleId="2">
    <w:name w:val="heading 2"/>
    <w:basedOn w:val="a0"/>
    <w:next w:val="a0"/>
    <w:qFormat/>
    <w:pPr>
      <w:keepNext/>
      <w:jc w:val="center"/>
      <w:outlineLvl w:val="1"/>
    </w:pPr>
    <w:rPr>
      <w:b/>
      <w:bCs/>
    </w:rPr>
  </w:style>
  <w:style w:type="paragraph" w:styleId="8">
    <w:name w:val="heading 8"/>
    <w:basedOn w:val="a0"/>
    <w:next w:val="a0"/>
    <w:qFormat/>
    <w:pPr>
      <w:keepNext/>
      <w:outlineLvl w:val="7"/>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4"/>
    <w:pPr>
      <w:numPr>
        <w:numId w:val="7"/>
      </w:numPr>
      <w:spacing w:line="360" w:lineRule="exact"/>
    </w:pPr>
    <w:rPr>
      <w:sz w:val="28"/>
    </w:rPr>
  </w:style>
  <w:style w:type="paragraph" w:styleId="a4">
    <w:name w:val="Body Text"/>
    <w:aliases w:val="bt"/>
    <w:basedOn w:val="a0"/>
    <w:pPr>
      <w:jc w:val="both"/>
    </w:pPr>
    <w:rPr>
      <w:szCs w:val="20"/>
    </w:rPr>
  </w:style>
  <w:style w:type="paragraph" w:customStyle="1" w:styleId="Caaieiaie10">
    <w:name w:val="Caaieiaie 10"/>
    <w:pPr>
      <w:jc w:val="center"/>
    </w:pPr>
    <w:rPr>
      <w:b/>
      <w:sz w:val="24"/>
      <w:lang w:val="en-US"/>
    </w:rPr>
  </w:style>
  <w:style w:type="character" w:styleId="a5">
    <w:name w:val="Hyperlink"/>
    <w:rPr>
      <w:color w:val="0000FF"/>
      <w:u w:val="single"/>
    </w:rPr>
  </w:style>
  <w:style w:type="paragraph" w:styleId="10">
    <w:name w:val="toc 1"/>
    <w:basedOn w:val="a0"/>
    <w:next w:val="a0"/>
    <w:autoRedefine/>
    <w:semiHidden/>
    <w:pPr>
      <w:tabs>
        <w:tab w:val="right" w:leader="dot" w:pos="9345"/>
      </w:tabs>
    </w:pPr>
    <w:rPr>
      <w:b/>
      <w:bCs/>
      <w:noProof/>
    </w:rPr>
  </w:style>
  <w:style w:type="paragraph" w:customStyle="1" w:styleId="21">
    <w:name w:val="Основной текст 21"/>
    <w:aliases w:val="Îñíîâíîé òåêñò 1"/>
    <w:basedOn w:val="a0"/>
    <w:pPr>
      <w:overflowPunct w:val="0"/>
      <w:autoSpaceDE w:val="0"/>
      <w:autoSpaceDN w:val="0"/>
      <w:adjustRightInd w:val="0"/>
      <w:ind w:firstLine="709"/>
      <w:jc w:val="both"/>
      <w:textAlignment w:val="baseline"/>
    </w:pPr>
    <w:rPr>
      <w:szCs w:val="20"/>
    </w:rPr>
  </w:style>
  <w:style w:type="paragraph" w:customStyle="1" w:styleId="11">
    <w:name w:val="Обычный (веб)1"/>
    <w:basedOn w:val="a0"/>
    <w:pPr>
      <w:spacing w:before="100" w:after="100"/>
      <w:jc w:val="both"/>
    </w:pPr>
    <w:rPr>
      <w:szCs w:val="20"/>
    </w:rPr>
  </w:style>
  <w:style w:type="paragraph" w:styleId="a6">
    <w:name w:val="Body Text Indent"/>
    <w:aliases w:val="Основной текст 1,Основной текст с отступом Знак Знак,Нумерованный список !!,Надин стиль,Основной текст с отступом Знак Знак Знак,Body Text Indent"/>
    <w:basedOn w:val="a0"/>
    <w:link w:val="a7"/>
    <w:pPr>
      <w:spacing w:line="216" w:lineRule="auto"/>
      <w:ind w:left="5103"/>
      <w:jc w:val="both"/>
    </w:pPr>
    <w:rPr>
      <w:szCs w:val="20"/>
    </w:rPr>
  </w:style>
  <w:style w:type="paragraph" w:customStyle="1" w:styleId="210">
    <w:name w:val="Основной текст с отступом 21"/>
    <w:basedOn w:val="a0"/>
    <w:pPr>
      <w:spacing w:line="240" w:lineRule="exact"/>
      <w:ind w:firstLine="720"/>
      <w:jc w:val="both"/>
    </w:pPr>
    <w:rPr>
      <w:rFonts w:ascii="TimesET" w:hAnsi="TimesET"/>
      <w:szCs w:val="20"/>
      <w:lang w:val="en-US"/>
    </w:rPr>
  </w:style>
  <w:style w:type="paragraph" w:styleId="3">
    <w:name w:val="Body Text Indent 3"/>
    <w:basedOn w:val="a0"/>
    <w:pPr>
      <w:ind w:firstLine="720"/>
    </w:pPr>
    <w:rPr>
      <w:szCs w:val="20"/>
    </w:rPr>
  </w:style>
  <w:style w:type="paragraph" w:styleId="20">
    <w:name w:val="Body Text Indent 2"/>
    <w:basedOn w:val="a0"/>
    <w:pPr>
      <w:ind w:firstLine="720"/>
      <w:jc w:val="both"/>
    </w:pPr>
    <w:rPr>
      <w:szCs w:val="20"/>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9"/>
    <w:uiPriority w:val="99"/>
    <w:qFormat/>
    <w:pPr>
      <w:spacing w:before="100" w:beforeAutospacing="1" w:after="100" w:afterAutospacing="1"/>
    </w:pPr>
  </w:style>
  <w:style w:type="character" w:styleId="aa">
    <w:name w:val="FollowedHyperlink"/>
    <w:rPr>
      <w:color w:val="800080"/>
      <w:u w:val="single"/>
    </w:rPr>
  </w:style>
  <w:style w:type="paragraph" w:styleId="ab">
    <w:name w:val="header"/>
    <w:basedOn w:val="a0"/>
    <w:pPr>
      <w:tabs>
        <w:tab w:val="center" w:pos="4677"/>
        <w:tab w:val="right" w:pos="9355"/>
      </w:tabs>
    </w:pPr>
  </w:style>
  <w:style w:type="paragraph" w:styleId="ac">
    <w:name w:val="Title"/>
    <w:basedOn w:val="a0"/>
    <w:link w:val="ad"/>
    <w:qFormat/>
    <w:pPr>
      <w:spacing w:before="240" w:after="60"/>
      <w:jc w:val="center"/>
      <w:outlineLvl w:val="0"/>
    </w:pPr>
    <w:rPr>
      <w:rFonts w:ascii="Arial" w:hAnsi="Arial" w:cs="Arial"/>
      <w:b/>
      <w:bCs/>
      <w:kern w:val="28"/>
      <w:sz w:val="32"/>
      <w:szCs w:val="32"/>
    </w:rPr>
  </w:style>
  <w:style w:type="character" w:styleId="ae">
    <w:name w:val="page number"/>
    <w:basedOn w:val="a1"/>
  </w:style>
  <w:style w:type="paragraph" w:styleId="22">
    <w:name w:val="Body Text 2"/>
    <w:basedOn w:val="a0"/>
    <w:pPr>
      <w:autoSpaceDE w:val="0"/>
      <w:autoSpaceDN w:val="0"/>
      <w:ind w:firstLine="851"/>
      <w:jc w:val="both"/>
    </w:pPr>
    <w:rPr>
      <w:sz w:val="26"/>
      <w:szCs w:val="26"/>
    </w:rPr>
  </w:style>
  <w:style w:type="paragraph" w:customStyle="1" w:styleId="Iauiue">
    <w:name w:val="Iau?iue"/>
  </w:style>
  <w:style w:type="paragraph" w:customStyle="1" w:styleId="af">
    <w:name w:val="......."/>
    <w:basedOn w:val="a0"/>
    <w:next w:val="a0"/>
    <w:pPr>
      <w:autoSpaceDE w:val="0"/>
      <w:autoSpaceDN w:val="0"/>
      <w:adjustRightInd w:val="0"/>
    </w:pPr>
  </w:style>
  <w:style w:type="paragraph" w:customStyle="1" w:styleId="iauiue0">
    <w:name w:val="iauiue"/>
    <w:basedOn w:val="a0"/>
    <w:pPr>
      <w:spacing w:before="100" w:beforeAutospacing="1" w:after="100" w:afterAutospacing="1"/>
    </w:pPr>
  </w:style>
  <w:style w:type="paragraph" w:customStyle="1" w:styleId="iauiue00">
    <w:name w:val="iauiue0"/>
    <w:basedOn w:val="a0"/>
    <w:pPr>
      <w:spacing w:before="100" w:beforeAutospacing="1" w:after="100" w:afterAutospacing="1"/>
    </w:pPr>
  </w:style>
  <w:style w:type="paragraph" w:styleId="af0">
    <w:name w:val="Plain Text"/>
    <w:basedOn w:val="a0"/>
    <w:rsid w:val="00E0538E"/>
    <w:rPr>
      <w:rFonts w:ascii="Courier New" w:hAnsi="Courier New"/>
      <w:sz w:val="20"/>
      <w:szCs w:val="20"/>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rsid w:val="004F3926"/>
    <w:rPr>
      <w:sz w:val="24"/>
      <w:szCs w:val="24"/>
      <w:lang w:val="ru-RU" w:eastAsia="ru-RU" w:bidi="ar-SA"/>
    </w:rPr>
  </w:style>
  <w:style w:type="character" w:customStyle="1" w:styleId="ad">
    <w:name w:val="Название Знак"/>
    <w:link w:val="ac"/>
    <w:locked/>
    <w:rsid w:val="00B223DC"/>
    <w:rPr>
      <w:rFonts w:ascii="Arial" w:hAnsi="Arial" w:cs="Arial"/>
      <w:b/>
      <w:bCs/>
      <w:kern w:val="28"/>
      <w:sz w:val="32"/>
      <w:szCs w:val="32"/>
    </w:rPr>
  </w:style>
  <w:style w:type="paragraph" w:styleId="af1">
    <w:name w:val="Balloon Text"/>
    <w:basedOn w:val="a0"/>
    <w:link w:val="af2"/>
    <w:rsid w:val="00F6025C"/>
    <w:rPr>
      <w:rFonts w:ascii="Tahoma" w:hAnsi="Tahoma" w:cs="Tahoma"/>
      <w:sz w:val="16"/>
      <w:szCs w:val="16"/>
    </w:rPr>
  </w:style>
  <w:style w:type="character" w:customStyle="1" w:styleId="af2">
    <w:name w:val="Текст выноски Знак"/>
    <w:link w:val="af1"/>
    <w:rsid w:val="00F6025C"/>
    <w:rPr>
      <w:rFonts w:ascii="Tahoma" w:hAnsi="Tahoma" w:cs="Tahoma"/>
      <w:sz w:val="16"/>
      <w:szCs w:val="16"/>
    </w:rPr>
  </w:style>
  <w:style w:type="paragraph" w:styleId="af3">
    <w:name w:val="List Paragraph"/>
    <w:basedOn w:val="a0"/>
    <w:uiPriority w:val="34"/>
    <w:qFormat/>
    <w:rsid w:val="00063EE1"/>
    <w:pPr>
      <w:ind w:left="720"/>
      <w:contextualSpacing/>
    </w:pPr>
  </w:style>
  <w:style w:type="character" w:customStyle="1" w:styleId="a7">
    <w:name w:val="Основной текст с отступом Знак"/>
    <w:aliases w:val="Основной текст 1 Знак,Основной текст с отступом Знак Знак Знак1,Нумерованный список !! Знак,Надин стиль Знак,Основной текст с отступом Знак Знак Знак Знак,Body Text Indent Знак"/>
    <w:link w:val="a6"/>
    <w:rsid w:val="00342BDF"/>
    <w:rPr>
      <w:sz w:val="24"/>
    </w:rPr>
  </w:style>
  <w:style w:type="paragraph" w:styleId="af4">
    <w:name w:val="footer"/>
    <w:basedOn w:val="a0"/>
    <w:link w:val="af5"/>
    <w:rsid w:val="00B968C5"/>
    <w:pPr>
      <w:tabs>
        <w:tab w:val="center" w:pos="4677"/>
        <w:tab w:val="right" w:pos="9355"/>
      </w:tabs>
    </w:pPr>
  </w:style>
  <w:style w:type="character" w:customStyle="1" w:styleId="af5">
    <w:name w:val="Нижний колонтитул Знак"/>
    <w:link w:val="af4"/>
    <w:rsid w:val="00B968C5"/>
    <w:rPr>
      <w:sz w:val="24"/>
      <w:szCs w:val="24"/>
    </w:rPr>
  </w:style>
  <w:style w:type="paragraph" w:styleId="af6">
    <w:name w:val="caption"/>
    <w:basedOn w:val="a0"/>
    <w:next w:val="a0"/>
    <w:unhideWhenUsed/>
    <w:qFormat/>
    <w:rsid w:val="008B0F0B"/>
    <w:pPr>
      <w:spacing w:after="200"/>
    </w:pPr>
    <w:rPr>
      <w:b/>
      <w:bCs/>
      <w:color w:val="4F81BD" w:themeColor="accent1"/>
      <w:sz w:val="18"/>
      <w:szCs w:val="18"/>
    </w:rPr>
  </w:style>
  <w:style w:type="paragraph" w:styleId="af7">
    <w:name w:val="No Spacing"/>
    <w:link w:val="af8"/>
    <w:uiPriority w:val="1"/>
    <w:qFormat/>
    <w:rsid w:val="00AC3227"/>
    <w:rPr>
      <w:rFonts w:ascii="Calibri" w:eastAsia="Calibri" w:hAnsi="Calibri"/>
      <w:sz w:val="22"/>
      <w:szCs w:val="22"/>
      <w:lang w:eastAsia="en-US"/>
    </w:rPr>
  </w:style>
  <w:style w:type="character" w:customStyle="1" w:styleId="af8">
    <w:name w:val="Без интервала Знак"/>
    <w:link w:val="af7"/>
    <w:uiPriority w:val="1"/>
    <w:locked/>
    <w:rsid w:val="00AC322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121AB"/>
    <w:rPr>
      <w:sz w:val="24"/>
      <w:szCs w:val="24"/>
    </w:rPr>
  </w:style>
  <w:style w:type="paragraph" w:styleId="1">
    <w:name w:val="heading 1"/>
    <w:basedOn w:val="a0"/>
    <w:next w:val="a0"/>
    <w:qFormat/>
    <w:pPr>
      <w:keepNext/>
      <w:ind w:firstLine="709"/>
      <w:jc w:val="center"/>
      <w:outlineLvl w:val="0"/>
    </w:pPr>
    <w:rPr>
      <w:b/>
      <w:bCs/>
    </w:rPr>
  </w:style>
  <w:style w:type="paragraph" w:styleId="2">
    <w:name w:val="heading 2"/>
    <w:basedOn w:val="a0"/>
    <w:next w:val="a0"/>
    <w:qFormat/>
    <w:pPr>
      <w:keepNext/>
      <w:jc w:val="center"/>
      <w:outlineLvl w:val="1"/>
    </w:pPr>
    <w:rPr>
      <w:b/>
      <w:bCs/>
    </w:rPr>
  </w:style>
  <w:style w:type="paragraph" w:styleId="8">
    <w:name w:val="heading 8"/>
    <w:basedOn w:val="a0"/>
    <w:next w:val="a0"/>
    <w:qFormat/>
    <w:pPr>
      <w:keepNext/>
      <w:outlineLvl w:val="7"/>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4"/>
    <w:pPr>
      <w:numPr>
        <w:numId w:val="7"/>
      </w:numPr>
      <w:spacing w:line="360" w:lineRule="exact"/>
    </w:pPr>
    <w:rPr>
      <w:sz w:val="28"/>
    </w:rPr>
  </w:style>
  <w:style w:type="paragraph" w:styleId="a4">
    <w:name w:val="Body Text"/>
    <w:aliases w:val="bt"/>
    <w:basedOn w:val="a0"/>
    <w:pPr>
      <w:jc w:val="both"/>
    </w:pPr>
    <w:rPr>
      <w:szCs w:val="20"/>
    </w:rPr>
  </w:style>
  <w:style w:type="paragraph" w:customStyle="1" w:styleId="Caaieiaie10">
    <w:name w:val="Caaieiaie 10"/>
    <w:pPr>
      <w:jc w:val="center"/>
    </w:pPr>
    <w:rPr>
      <w:b/>
      <w:sz w:val="24"/>
      <w:lang w:val="en-US"/>
    </w:rPr>
  </w:style>
  <w:style w:type="character" w:styleId="a5">
    <w:name w:val="Hyperlink"/>
    <w:rPr>
      <w:color w:val="0000FF"/>
      <w:u w:val="single"/>
    </w:rPr>
  </w:style>
  <w:style w:type="paragraph" w:styleId="10">
    <w:name w:val="toc 1"/>
    <w:basedOn w:val="a0"/>
    <w:next w:val="a0"/>
    <w:autoRedefine/>
    <w:semiHidden/>
    <w:pPr>
      <w:tabs>
        <w:tab w:val="right" w:leader="dot" w:pos="9345"/>
      </w:tabs>
    </w:pPr>
    <w:rPr>
      <w:b/>
      <w:bCs/>
      <w:noProof/>
    </w:rPr>
  </w:style>
  <w:style w:type="paragraph" w:customStyle="1" w:styleId="21">
    <w:name w:val="Основной текст 21"/>
    <w:aliases w:val="Îñíîâíîé òåêñò 1"/>
    <w:basedOn w:val="a0"/>
    <w:pPr>
      <w:overflowPunct w:val="0"/>
      <w:autoSpaceDE w:val="0"/>
      <w:autoSpaceDN w:val="0"/>
      <w:adjustRightInd w:val="0"/>
      <w:ind w:firstLine="709"/>
      <w:jc w:val="both"/>
      <w:textAlignment w:val="baseline"/>
    </w:pPr>
    <w:rPr>
      <w:szCs w:val="20"/>
    </w:rPr>
  </w:style>
  <w:style w:type="paragraph" w:customStyle="1" w:styleId="11">
    <w:name w:val="Обычный (веб)1"/>
    <w:basedOn w:val="a0"/>
    <w:pPr>
      <w:spacing w:before="100" w:after="100"/>
      <w:jc w:val="both"/>
    </w:pPr>
    <w:rPr>
      <w:szCs w:val="20"/>
    </w:rPr>
  </w:style>
  <w:style w:type="paragraph" w:styleId="a6">
    <w:name w:val="Body Text Indent"/>
    <w:aliases w:val="Основной текст 1,Основной текст с отступом Знак Знак,Нумерованный список !!,Надин стиль,Основной текст с отступом Знак Знак Знак,Body Text Indent"/>
    <w:basedOn w:val="a0"/>
    <w:link w:val="a7"/>
    <w:pPr>
      <w:spacing w:line="216" w:lineRule="auto"/>
      <w:ind w:left="5103"/>
      <w:jc w:val="both"/>
    </w:pPr>
    <w:rPr>
      <w:szCs w:val="20"/>
    </w:rPr>
  </w:style>
  <w:style w:type="paragraph" w:customStyle="1" w:styleId="210">
    <w:name w:val="Основной текст с отступом 21"/>
    <w:basedOn w:val="a0"/>
    <w:pPr>
      <w:spacing w:line="240" w:lineRule="exact"/>
      <w:ind w:firstLine="720"/>
      <w:jc w:val="both"/>
    </w:pPr>
    <w:rPr>
      <w:rFonts w:ascii="TimesET" w:hAnsi="TimesET"/>
      <w:szCs w:val="20"/>
      <w:lang w:val="en-US"/>
    </w:rPr>
  </w:style>
  <w:style w:type="paragraph" w:styleId="3">
    <w:name w:val="Body Text Indent 3"/>
    <w:basedOn w:val="a0"/>
    <w:pPr>
      <w:ind w:firstLine="720"/>
    </w:pPr>
    <w:rPr>
      <w:szCs w:val="20"/>
    </w:rPr>
  </w:style>
  <w:style w:type="paragraph" w:styleId="20">
    <w:name w:val="Body Text Indent 2"/>
    <w:basedOn w:val="a0"/>
    <w:pPr>
      <w:ind w:firstLine="720"/>
      <w:jc w:val="both"/>
    </w:pPr>
    <w:rPr>
      <w:szCs w:val="20"/>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9"/>
    <w:uiPriority w:val="99"/>
    <w:qFormat/>
    <w:pPr>
      <w:spacing w:before="100" w:beforeAutospacing="1" w:after="100" w:afterAutospacing="1"/>
    </w:pPr>
  </w:style>
  <w:style w:type="character" w:styleId="aa">
    <w:name w:val="FollowedHyperlink"/>
    <w:rPr>
      <w:color w:val="800080"/>
      <w:u w:val="single"/>
    </w:rPr>
  </w:style>
  <w:style w:type="paragraph" w:styleId="ab">
    <w:name w:val="header"/>
    <w:basedOn w:val="a0"/>
    <w:pPr>
      <w:tabs>
        <w:tab w:val="center" w:pos="4677"/>
        <w:tab w:val="right" w:pos="9355"/>
      </w:tabs>
    </w:pPr>
  </w:style>
  <w:style w:type="paragraph" w:styleId="ac">
    <w:name w:val="Title"/>
    <w:basedOn w:val="a0"/>
    <w:link w:val="ad"/>
    <w:qFormat/>
    <w:pPr>
      <w:spacing w:before="240" w:after="60"/>
      <w:jc w:val="center"/>
      <w:outlineLvl w:val="0"/>
    </w:pPr>
    <w:rPr>
      <w:rFonts w:ascii="Arial" w:hAnsi="Arial" w:cs="Arial"/>
      <w:b/>
      <w:bCs/>
      <w:kern w:val="28"/>
      <w:sz w:val="32"/>
      <w:szCs w:val="32"/>
    </w:rPr>
  </w:style>
  <w:style w:type="character" w:styleId="ae">
    <w:name w:val="page number"/>
    <w:basedOn w:val="a1"/>
  </w:style>
  <w:style w:type="paragraph" w:styleId="22">
    <w:name w:val="Body Text 2"/>
    <w:basedOn w:val="a0"/>
    <w:pPr>
      <w:autoSpaceDE w:val="0"/>
      <w:autoSpaceDN w:val="0"/>
      <w:ind w:firstLine="851"/>
      <w:jc w:val="both"/>
    </w:pPr>
    <w:rPr>
      <w:sz w:val="26"/>
      <w:szCs w:val="26"/>
    </w:rPr>
  </w:style>
  <w:style w:type="paragraph" w:customStyle="1" w:styleId="Iauiue">
    <w:name w:val="Iau?iue"/>
  </w:style>
  <w:style w:type="paragraph" w:customStyle="1" w:styleId="af">
    <w:name w:val="......."/>
    <w:basedOn w:val="a0"/>
    <w:next w:val="a0"/>
    <w:pPr>
      <w:autoSpaceDE w:val="0"/>
      <w:autoSpaceDN w:val="0"/>
      <w:adjustRightInd w:val="0"/>
    </w:pPr>
  </w:style>
  <w:style w:type="paragraph" w:customStyle="1" w:styleId="iauiue0">
    <w:name w:val="iauiue"/>
    <w:basedOn w:val="a0"/>
    <w:pPr>
      <w:spacing w:before="100" w:beforeAutospacing="1" w:after="100" w:afterAutospacing="1"/>
    </w:pPr>
  </w:style>
  <w:style w:type="paragraph" w:customStyle="1" w:styleId="iauiue00">
    <w:name w:val="iauiue0"/>
    <w:basedOn w:val="a0"/>
    <w:pPr>
      <w:spacing w:before="100" w:beforeAutospacing="1" w:after="100" w:afterAutospacing="1"/>
    </w:pPr>
  </w:style>
  <w:style w:type="paragraph" w:styleId="af0">
    <w:name w:val="Plain Text"/>
    <w:basedOn w:val="a0"/>
    <w:rsid w:val="00E0538E"/>
    <w:rPr>
      <w:rFonts w:ascii="Courier New" w:hAnsi="Courier New"/>
      <w:sz w:val="20"/>
      <w:szCs w:val="20"/>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rsid w:val="004F3926"/>
    <w:rPr>
      <w:sz w:val="24"/>
      <w:szCs w:val="24"/>
      <w:lang w:val="ru-RU" w:eastAsia="ru-RU" w:bidi="ar-SA"/>
    </w:rPr>
  </w:style>
  <w:style w:type="character" w:customStyle="1" w:styleId="ad">
    <w:name w:val="Название Знак"/>
    <w:link w:val="ac"/>
    <w:locked/>
    <w:rsid w:val="00B223DC"/>
    <w:rPr>
      <w:rFonts w:ascii="Arial" w:hAnsi="Arial" w:cs="Arial"/>
      <w:b/>
      <w:bCs/>
      <w:kern w:val="28"/>
      <w:sz w:val="32"/>
      <w:szCs w:val="32"/>
    </w:rPr>
  </w:style>
  <w:style w:type="paragraph" w:styleId="af1">
    <w:name w:val="Balloon Text"/>
    <w:basedOn w:val="a0"/>
    <w:link w:val="af2"/>
    <w:rsid w:val="00F6025C"/>
    <w:rPr>
      <w:rFonts w:ascii="Tahoma" w:hAnsi="Tahoma" w:cs="Tahoma"/>
      <w:sz w:val="16"/>
      <w:szCs w:val="16"/>
    </w:rPr>
  </w:style>
  <w:style w:type="character" w:customStyle="1" w:styleId="af2">
    <w:name w:val="Текст выноски Знак"/>
    <w:link w:val="af1"/>
    <w:rsid w:val="00F6025C"/>
    <w:rPr>
      <w:rFonts w:ascii="Tahoma" w:hAnsi="Tahoma" w:cs="Tahoma"/>
      <w:sz w:val="16"/>
      <w:szCs w:val="16"/>
    </w:rPr>
  </w:style>
  <w:style w:type="paragraph" w:styleId="af3">
    <w:name w:val="List Paragraph"/>
    <w:basedOn w:val="a0"/>
    <w:uiPriority w:val="34"/>
    <w:qFormat/>
    <w:rsid w:val="00063EE1"/>
    <w:pPr>
      <w:ind w:left="720"/>
      <w:contextualSpacing/>
    </w:pPr>
  </w:style>
  <w:style w:type="character" w:customStyle="1" w:styleId="a7">
    <w:name w:val="Основной текст с отступом Знак"/>
    <w:aliases w:val="Основной текст 1 Знак,Основной текст с отступом Знак Знак Знак1,Нумерованный список !! Знак,Надин стиль Знак,Основной текст с отступом Знак Знак Знак Знак,Body Text Indent Знак"/>
    <w:link w:val="a6"/>
    <w:rsid w:val="00342BDF"/>
    <w:rPr>
      <w:sz w:val="24"/>
    </w:rPr>
  </w:style>
  <w:style w:type="paragraph" w:styleId="af4">
    <w:name w:val="footer"/>
    <w:basedOn w:val="a0"/>
    <w:link w:val="af5"/>
    <w:rsid w:val="00B968C5"/>
    <w:pPr>
      <w:tabs>
        <w:tab w:val="center" w:pos="4677"/>
        <w:tab w:val="right" w:pos="9355"/>
      </w:tabs>
    </w:pPr>
  </w:style>
  <w:style w:type="character" w:customStyle="1" w:styleId="af5">
    <w:name w:val="Нижний колонтитул Знак"/>
    <w:link w:val="af4"/>
    <w:rsid w:val="00B968C5"/>
    <w:rPr>
      <w:sz w:val="24"/>
      <w:szCs w:val="24"/>
    </w:rPr>
  </w:style>
  <w:style w:type="paragraph" w:styleId="af6">
    <w:name w:val="caption"/>
    <w:basedOn w:val="a0"/>
    <w:next w:val="a0"/>
    <w:unhideWhenUsed/>
    <w:qFormat/>
    <w:rsid w:val="008B0F0B"/>
    <w:pPr>
      <w:spacing w:after="200"/>
    </w:pPr>
    <w:rPr>
      <w:b/>
      <w:bCs/>
      <w:color w:val="4F81BD" w:themeColor="accent1"/>
      <w:sz w:val="18"/>
      <w:szCs w:val="18"/>
    </w:rPr>
  </w:style>
  <w:style w:type="paragraph" w:styleId="af7">
    <w:name w:val="No Spacing"/>
    <w:link w:val="af8"/>
    <w:uiPriority w:val="1"/>
    <w:qFormat/>
    <w:rsid w:val="00AC3227"/>
    <w:rPr>
      <w:rFonts w:ascii="Calibri" w:eastAsia="Calibri" w:hAnsi="Calibri"/>
      <w:sz w:val="22"/>
      <w:szCs w:val="22"/>
      <w:lang w:eastAsia="en-US"/>
    </w:rPr>
  </w:style>
  <w:style w:type="character" w:customStyle="1" w:styleId="af8">
    <w:name w:val="Без интервала Знак"/>
    <w:link w:val="af7"/>
    <w:uiPriority w:val="1"/>
    <w:locked/>
    <w:rsid w:val="00AC32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54422">
      <w:bodyDiv w:val="1"/>
      <w:marLeft w:val="0"/>
      <w:marRight w:val="0"/>
      <w:marTop w:val="0"/>
      <w:marBottom w:val="0"/>
      <w:divBdr>
        <w:top w:val="none" w:sz="0" w:space="0" w:color="auto"/>
        <w:left w:val="none" w:sz="0" w:space="0" w:color="auto"/>
        <w:bottom w:val="none" w:sz="0" w:space="0" w:color="auto"/>
        <w:right w:val="none" w:sz="0" w:space="0" w:color="auto"/>
      </w:divBdr>
    </w:div>
    <w:div w:id="746684320">
      <w:bodyDiv w:val="1"/>
      <w:marLeft w:val="0"/>
      <w:marRight w:val="0"/>
      <w:marTop w:val="0"/>
      <w:marBottom w:val="0"/>
      <w:divBdr>
        <w:top w:val="none" w:sz="0" w:space="0" w:color="auto"/>
        <w:left w:val="none" w:sz="0" w:space="0" w:color="auto"/>
        <w:bottom w:val="none" w:sz="0" w:space="0" w:color="auto"/>
        <w:right w:val="none" w:sz="0" w:space="0" w:color="auto"/>
      </w:divBdr>
    </w:div>
    <w:div w:id="770320770">
      <w:bodyDiv w:val="1"/>
      <w:marLeft w:val="0"/>
      <w:marRight w:val="0"/>
      <w:marTop w:val="0"/>
      <w:marBottom w:val="0"/>
      <w:divBdr>
        <w:top w:val="none" w:sz="0" w:space="0" w:color="auto"/>
        <w:left w:val="none" w:sz="0" w:space="0" w:color="auto"/>
        <w:bottom w:val="none" w:sz="0" w:space="0" w:color="auto"/>
        <w:right w:val="none" w:sz="0" w:space="0" w:color="auto"/>
      </w:divBdr>
    </w:div>
    <w:div w:id="1002008515">
      <w:bodyDiv w:val="1"/>
      <w:marLeft w:val="0"/>
      <w:marRight w:val="0"/>
      <w:marTop w:val="0"/>
      <w:marBottom w:val="0"/>
      <w:divBdr>
        <w:top w:val="none" w:sz="0" w:space="0" w:color="auto"/>
        <w:left w:val="none" w:sz="0" w:space="0" w:color="auto"/>
        <w:bottom w:val="none" w:sz="0" w:space="0" w:color="auto"/>
        <w:right w:val="none" w:sz="0" w:space="0" w:color="auto"/>
      </w:divBdr>
    </w:div>
    <w:div w:id="1039161425">
      <w:bodyDiv w:val="1"/>
      <w:marLeft w:val="0"/>
      <w:marRight w:val="0"/>
      <w:marTop w:val="0"/>
      <w:marBottom w:val="0"/>
      <w:divBdr>
        <w:top w:val="none" w:sz="0" w:space="0" w:color="auto"/>
        <w:left w:val="none" w:sz="0" w:space="0" w:color="auto"/>
        <w:bottom w:val="none" w:sz="0" w:space="0" w:color="auto"/>
        <w:right w:val="none" w:sz="0" w:space="0" w:color="auto"/>
      </w:divBdr>
    </w:div>
    <w:div w:id="1055281187">
      <w:bodyDiv w:val="1"/>
      <w:marLeft w:val="0"/>
      <w:marRight w:val="0"/>
      <w:marTop w:val="0"/>
      <w:marBottom w:val="0"/>
      <w:divBdr>
        <w:top w:val="none" w:sz="0" w:space="0" w:color="auto"/>
        <w:left w:val="none" w:sz="0" w:space="0" w:color="auto"/>
        <w:bottom w:val="none" w:sz="0" w:space="0" w:color="auto"/>
        <w:right w:val="none" w:sz="0" w:space="0" w:color="auto"/>
      </w:divBdr>
    </w:div>
    <w:div w:id="1160343795">
      <w:bodyDiv w:val="1"/>
      <w:marLeft w:val="0"/>
      <w:marRight w:val="0"/>
      <w:marTop w:val="0"/>
      <w:marBottom w:val="0"/>
      <w:divBdr>
        <w:top w:val="none" w:sz="0" w:space="0" w:color="auto"/>
        <w:left w:val="none" w:sz="0" w:space="0" w:color="auto"/>
        <w:bottom w:val="none" w:sz="0" w:space="0" w:color="auto"/>
        <w:right w:val="none" w:sz="0" w:space="0" w:color="auto"/>
      </w:divBdr>
    </w:div>
    <w:div w:id="1206064649">
      <w:bodyDiv w:val="1"/>
      <w:marLeft w:val="0"/>
      <w:marRight w:val="0"/>
      <w:marTop w:val="0"/>
      <w:marBottom w:val="0"/>
      <w:divBdr>
        <w:top w:val="none" w:sz="0" w:space="0" w:color="auto"/>
        <w:left w:val="none" w:sz="0" w:space="0" w:color="auto"/>
        <w:bottom w:val="none" w:sz="0" w:space="0" w:color="auto"/>
        <w:right w:val="none" w:sz="0" w:space="0" w:color="auto"/>
      </w:divBdr>
    </w:div>
    <w:div w:id="1435200054">
      <w:bodyDiv w:val="1"/>
      <w:marLeft w:val="0"/>
      <w:marRight w:val="0"/>
      <w:marTop w:val="0"/>
      <w:marBottom w:val="0"/>
      <w:divBdr>
        <w:top w:val="none" w:sz="0" w:space="0" w:color="auto"/>
        <w:left w:val="none" w:sz="0" w:space="0" w:color="auto"/>
        <w:bottom w:val="none" w:sz="0" w:space="0" w:color="auto"/>
        <w:right w:val="none" w:sz="0" w:space="0" w:color="auto"/>
      </w:divBdr>
    </w:div>
    <w:div w:id="1458379816">
      <w:bodyDiv w:val="1"/>
      <w:marLeft w:val="0"/>
      <w:marRight w:val="0"/>
      <w:marTop w:val="0"/>
      <w:marBottom w:val="0"/>
      <w:divBdr>
        <w:top w:val="none" w:sz="0" w:space="0" w:color="auto"/>
        <w:left w:val="none" w:sz="0" w:space="0" w:color="auto"/>
        <w:bottom w:val="none" w:sz="0" w:space="0" w:color="auto"/>
        <w:right w:val="none" w:sz="0" w:space="0" w:color="auto"/>
      </w:divBdr>
    </w:div>
    <w:div w:id="1544097229">
      <w:bodyDiv w:val="1"/>
      <w:marLeft w:val="0"/>
      <w:marRight w:val="0"/>
      <w:marTop w:val="0"/>
      <w:marBottom w:val="0"/>
      <w:divBdr>
        <w:top w:val="none" w:sz="0" w:space="0" w:color="auto"/>
        <w:left w:val="none" w:sz="0" w:space="0" w:color="auto"/>
        <w:bottom w:val="none" w:sz="0" w:space="0" w:color="auto"/>
        <w:right w:val="none" w:sz="0" w:space="0" w:color="auto"/>
      </w:divBdr>
    </w:div>
    <w:div w:id="1561667119">
      <w:bodyDiv w:val="1"/>
      <w:marLeft w:val="0"/>
      <w:marRight w:val="0"/>
      <w:marTop w:val="0"/>
      <w:marBottom w:val="0"/>
      <w:divBdr>
        <w:top w:val="none" w:sz="0" w:space="0" w:color="auto"/>
        <w:left w:val="none" w:sz="0" w:space="0" w:color="auto"/>
        <w:bottom w:val="none" w:sz="0" w:space="0" w:color="auto"/>
        <w:right w:val="none" w:sz="0" w:space="0" w:color="auto"/>
      </w:divBdr>
    </w:div>
    <w:div w:id="1754351748">
      <w:bodyDiv w:val="1"/>
      <w:marLeft w:val="0"/>
      <w:marRight w:val="0"/>
      <w:marTop w:val="0"/>
      <w:marBottom w:val="0"/>
      <w:divBdr>
        <w:top w:val="none" w:sz="0" w:space="0" w:color="auto"/>
        <w:left w:val="none" w:sz="0" w:space="0" w:color="auto"/>
        <w:bottom w:val="none" w:sz="0" w:space="0" w:color="auto"/>
        <w:right w:val="none" w:sz="0" w:space="0" w:color="auto"/>
      </w:divBdr>
    </w:div>
    <w:div w:id="197043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0787233326603397E-2"/>
          <c:y val="6.4170027527046924E-2"/>
          <c:w val="0.8733391489814345"/>
          <c:h val="0.65974627240888695"/>
        </c:manualLayout>
      </c:layout>
      <c:lineChart>
        <c:grouping val="standard"/>
        <c:varyColors val="0"/>
        <c:ser>
          <c:idx val="0"/>
          <c:order val="0"/>
          <c:tx>
            <c:strRef>
              <c:f>Лист1!$B$1</c:f>
              <c:strCache>
                <c:ptCount val="1"/>
                <c:pt idx="0">
                  <c:v>Россия</c:v>
                </c:pt>
              </c:strCache>
            </c:strRef>
          </c:tx>
          <c:spPr>
            <a:ln>
              <a:solidFill>
                <a:schemeClr val="tx1">
                  <a:lumMod val="75000"/>
                  <a:lumOff val="25000"/>
                </a:schemeClr>
              </a:solidFill>
            </a:ln>
          </c:spPr>
          <c:marker>
            <c:spPr>
              <a:solidFill>
                <a:schemeClr val="bg2">
                  <a:lumMod val="50000"/>
                </a:schemeClr>
              </a:solidFill>
              <a:ln>
                <a:solidFill>
                  <a:schemeClr val="tx1">
                    <a:lumMod val="75000"/>
                    <a:lumOff val="25000"/>
                  </a:schemeClr>
                </a:solidFill>
              </a:ln>
            </c:spPr>
          </c:marker>
          <c:cat>
            <c:numRef>
              <c:f>Лист1!$A$2:$A$12</c:f>
              <c:numCache>
                <c:formatCode>mmm\-yy</c:formatCode>
                <c:ptCount val="11"/>
                <c:pt idx="0">
                  <c:v>44562</c:v>
                </c:pt>
                <c:pt idx="1">
                  <c:v>44621</c:v>
                </c:pt>
                <c:pt idx="2">
                  <c:v>44713</c:v>
                </c:pt>
                <c:pt idx="3">
                  <c:v>44805</c:v>
                </c:pt>
                <c:pt idx="4">
                  <c:v>44896</c:v>
                </c:pt>
                <c:pt idx="5">
                  <c:v>44927</c:v>
                </c:pt>
                <c:pt idx="6">
                  <c:v>44958</c:v>
                </c:pt>
                <c:pt idx="7">
                  <c:v>44986</c:v>
                </c:pt>
                <c:pt idx="8">
                  <c:v>45017</c:v>
                </c:pt>
                <c:pt idx="9">
                  <c:v>45047</c:v>
                </c:pt>
                <c:pt idx="10">
                  <c:v>45078</c:v>
                </c:pt>
              </c:numCache>
            </c:numRef>
          </c:cat>
          <c:val>
            <c:numRef>
              <c:f>Лист1!$B$2:$B$12</c:f>
              <c:numCache>
                <c:formatCode>0.0</c:formatCode>
                <c:ptCount val="11"/>
                <c:pt idx="0">
                  <c:v>103.2</c:v>
                </c:pt>
                <c:pt idx="1">
                  <c:v>103.6</c:v>
                </c:pt>
                <c:pt idx="2">
                  <c:v>96.6</c:v>
                </c:pt>
                <c:pt idx="3">
                  <c:v>94.4</c:v>
                </c:pt>
                <c:pt idx="4">
                  <c:v>93.3</c:v>
                </c:pt>
                <c:pt idx="5">
                  <c:v>91.9</c:v>
                </c:pt>
                <c:pt idx="6">
                  <c:v>91.9</c:v>
                </c:pt>
                <c:pt idx="7">
                  <c:v>93.1</c:v>
                </c:pt>
                <c:pt idx="8">
                  <c:v>96.8</c:v>
                </c:pt>
                <c:pt idx="9">
                  <c:v>99.3</c:v>
                </c:pt>
                <c:pt idx="10">
                  <c:v>101.1</c:v>
                </c:pt>
              </c:numCache>
            </c:numRef>
          </c:val>
          <c:smooth val="0"/>
        </c:ser>
        <c:ser>
          <c:idx val="1"/>
          <c:order val="1"/>
          <c:tx>
            <c:strRef>
              <c:f>Лист1!$C$1</c:f>
              <c:strCache>
                <c:ptCount val="1"/>
                <c:pt idx="0">
                  <c:v>ПФО</c:v>
                </c:pt>
              </c:strCache>
            </c:strRef>
          </c:tx>
          <c:spPr>
            <a:ln>
              <a:solidFill>
                <a:srgbClr val="002060"/>
              </a:solidFill>
            </a:ln>
          </c:spPr>
          <c:marker>
            <c:spPr>
              <a:solidFill>
                <a:srgbClr val="001C54"/>
              </a:solidFill>
              <a:ln>
                <a:solidFill>
                  <a:srgbClr val="002060"/>
                </a:solidFill>
              </a:ln>
            </c:spPr>
          </c:marker>
          <c:cat>
            <c:numRef>
              <c:f>Лист1!$A$2:$A$12</c:f>
              <c:numCache>
                <c:formatCode>mmm\-yy</c:formatCode>
                <c:ptCount val="11"/>
                <c:pt idx="0">
                  <c:v>44562</c:v>
                </c:pt>
                <c:pt idx="1">
                  <c:v>44621</c:v>
                </c:pt>
                <c:pt idx="2">
                  <c:v>44713</c:v>
                </c:pt>
                <c:pt idx="3">
                  <c:v>44805</c:v>
                </c:pt>
                <c:pt idx="4">
                  <c:v>44896</c:v>
                </c:pt>
                <c:pt idx="5">
                  <c:v>44927</c:v>
                </c:pt>
                <c:pt idx="6">
                  <c:v>44958</c:v>
                </c:pt>
                <c:pt idx="7">
                  <c:v>44986</c:v>
                </c:pt>
                <c:pt idx="8">
                  <c:v>45017</c:v>
                </c:pt>
                <c:pt idx="9">
                  <c:v>45047</c:v>
                </c:pt>
                <c:pt idx="10">
                  <c:v>45078</c:v>
                </c:pt>
              </c:numCache>
            </c:numRef>
          </c:cat>
          <c:val>
            <c:numRef>
              <c:f>Лист1!$C$2:$C$12</c:f>
              <c:numCache>
                <c:formatCode>0.0</c:formatCode>
                <c:ptCount val="11"/>
                <c:pt idx="0">
                  <c:v>103.5</c:v>
                </c:pt>
                <c:pt idx="1">
                  <c:v>103.1</c:v>
                </c:pt>
                <c:pt idx="2">
                  <c:v>97.2</c:v>
                </c:pt>
                <c:pt idx="3">
                  <c:v>95.7</c:v>
                </c:pt>
                <c:pt idx="4">
                  <c:v>95.4</c:v>
                </c:pt>
                <c:pt idx="5">
                  <c:v>97.4</c:v>
                </c:pt>
                <c:pt idx="6">
                  <c:v>97.6</c:v>
                </c:pt>
                <c:pt idx="7">
                  <c:v>98.6</c:v>
                </c:pt>
                <c:pt idx="8">
                  <c:v>101.3</c:v>
                </c:pt>
                <c:pt idx="9">
                  <c:v>103.3</c:v>
                </c:pt>
                <c:pt idx="10">
                  <c:v>105</c:v>
                </c:pt>
              </c:numCache>
            </c:numRef>
          </c:val>
          <c:smooth val="0"/>
        </c:ser>
        <c:ser>
          <c:idx val="2"/>
          <c:order val="2"/>
          <c:tx>
            <c:strRef>
              <c:f>Лист1!$D$1</c:f>
              <c:strCache>
                <c:ptCount val="1"/>
                <c:pt idx="0">
                  <c:v>Чувашия</c:v>
                </c:pt>
              </c:strCache>
            </c:strRef>
          </c:tx>
          <c:spPr>
            <a:ln>
              <a:solidFill>
                <a:srgbClr val="C00000"/>
              </a:solidFill>
            </a:ln>
          </c:spPr>
          <c:marker>
            <c:spPr>
              <a:solidFill>
                <a:srgbClr val="FFC000"/>
              </a:solidFill>
              <a:ln>
                <a:solidFill>
                  <a:srgbClr val="C00000"/>
                </a:solidFill>
              </a:ln>
            </c:spPr>
          </c:marker>
          <c:dLbls>
            <c:dLbl>
              <c:idx val="0"/>
              <c:layout>
                <c:manualLayout>
                  <c:x val="-5.0322700047109509E-2"/>
                  <c:y val="-6.3083573839864376E-2"/>
                </c:manualLayout>
              </c:layout>
              <c:showLegendKey val="0"/>
              <c:showVal val="1"/>
              <c:showCatName val="0"/>
              <c:showSerName val="0"/>
              <c:showPercent val="0"/>
              <c:showBubbleSize val="0"/>
            </c:dLbl>
            <c:dLbl>
              <c:idx val="1"/>
              <c:layout>
                <c:manualLayout>
                  <c:x val="-4.4380678376741367E-2"/>
                  <c:y val="-6.8522935585802677E-2"/>
                </c:manualLayout>
              </c:layout>
              <c:showLegendKey val="0"/>
              <c:showVal val="1"/>
              <c:showCatName val="0"/>
              <c:showSerName val="0"/>
              <c:showPercent val="0"/>
              <c:showBubbleSize val="0"/>
            </c:dLbl>
            <c:dLbl>
              <c:idx val="2"/>
              <c:layout>
                <c:manualLayout>
                  <c:x val="-4.2735042735042736E-2"/>
                  <c:y val="-7.8848484781028683E-2"/>
                </c:manualLayout>
              </c:layout>
              <c:showLegendKey val="0"/>
              <c:showVal val="1"/>
              <c:showCatName val="0"/>
              <c:showSerName val="0"/>
              <c:showPercent val="0"/>
              <c:showBubbleSize val="0"/>
            </c:dLbl>
            <c:dLbl>
              <c:idx val="3"/>
              <c:layout>
                <c:manualLayout>
                  <c:x val="-4.3764553469277878E-2"/>
                  <c:y val="-8.4286733500213151E-2"/>
                </c:manualLayout>
              </c:layout>
              <c:showLegendKey val="0"/>
              <c:showVal val="1"/>
              <c:showCatName val="0"/>
              <c:showSerName val="0"/>
              <c:showPercent val="0"/>
              <c:showBubbleSize val="0"/>
            </c:dLbl>
            <c:dLbl>
              <c:idx val="4"/>
              <c:layout>
                <c:manualLayout>
                  <c:x val="-3.1583215559593515E-2"/>
                  <c:y val="-0.11092863665985309"/>
                </c:manualLayout>
              </c:layout>
              <c:showLegendKey val="0"/>
              <c:showVal val="1"/>
              <c:showCatName val="0"/>
              <c:showSerName val="0"/>
              <c:showPercent val="0"/>
              <c:showBubbleSize val="0"/>
            </c:dLbl>
            <c:dLbl>
              <c:idx val="5"/>
              <c:delete val="1"/>
            </c:dLbl>
            <c:dLbl>
              <c:idx val="6"/>
              <c:layout>
                <c:manualLayout>
                  <c:x val="-3.3400296116831547E-2"/>
                  <c:y val="-0.13213178452036642"/>
                </c:manualLayout>
              </c:layout>
              <c:showLegendKey val="0"/>
              <c:showVal val="1"/>
              <c:showCatName val="0"/>
              <c:showSerName val="0"/>
              <c:showPercent val="0"/>
              <c:showBubbleSize val="0"/>
            </c:dLbl>
            <c:dLbl>
              <c:idx val="7"/>
              <c:layout>
                <c:manualLayout>
                  <c:x val="-3.7182515647082574E-2"/>
                  <c:y val="-0.14626841085379169"/>
                </c:manualLayout>
              </c:layout>
              <c:showLegendKey val="0"/>
              <c:showVal val="1"/>
              <c:showCatName val="0"/>
              <c:showSerName val="0"/>
              <c:showPercent val="0"/>
              <c:showBubbleSize val="0"/>
            </c:dLbl>
            <c:dLbl>
              <c:idx val="8"/>
              <c:layout>
                <c:manualLayout>
                  <c:x val="-4.3616158557103442E-2"/>
                  <c:y val="-0.14300946851859478"/>
                </c:manualLayout>
              </c:layout>
              <c:showLegendKey val="0"/>
              <c:showVal val="1"/>
              <c:showCatName val="0"/>
              <c:showSerName val="0"/>
              <c:showPercent val="0"/>
              <c:showBubbleSize val="0"/>
            </c:dLbl>
            <c:dLbl>
              <c:idx val="9"/>
              <c:layout>
                <c:manualLayout>
                  <c:x val="-3.6691230903829329E-2"/>
                  <c:y val="-0.14952568364885793"/>
                </c:manualLayout>
              </c:layout>
              <c:showLegendKey val="0"/>
              <c:showVal val="1"/>
              <c:showCatName val="0"/>
              <c:showSerName val="0"/>
              <c:showPercent val="0"/>
              <c:showBubbleSize val="0"/>
            </c:dLbl>
            <c:dLbl>
              <c:idx val="10"/>
              <c:layout>
                <c:manualLayout>
                  <c:x val="-1.9360953838419687E-4"/>
                  <c:y val="2.1776705271332068E-2"/>
                </c:manualLayout>
              </c:layout>
              <c:showLegendKey val="0"/>
              <c:showVal val="1"/>
              <c:showCatName val="0"/>
              <c:showSerName val="0"/>
              <c:showPercent val="0"/>
              <c:showBubbleSize val="0"/>
            </c:dLbl>
            <c:dLbl>
              <c:idx val="11"/>
              <c:layout>
                <c:manualLayout>
                  <c:x val="-2.6327141799582746E-2"/>
                  <c:y val="-0.11962533293412773"/>
                </c:manualLayout>
              </c:layout>
              <c:showLegendKey val="0"/>
              <c:showVal val="1"/>
              <c:showCatName val="0"/>
              <c:showSerName val="0"/>
              <c:showPercent val="0"/>
              <c:showBubbleSize val="0"/>
            </c:dLbl>
            <c:dLbl>
              <c:idx val="12"/>
              <c:layout>
                <c:manualLayout>
                  <c:x val="-2.8471826829285538E-2"/>
                  <c:y val="-0.14243759096079608"/>
                </c:manualLayout>
              </c:layout>
              <c:showLegendKey val="0"/>
              <c:showVal val="1"/>
              <c:showCatName val="0"/>
              <c:showSerName val="0"/>
              <c:showPercent val="0"/>
              <c:showBubbleSize val="0"/>
            </c:dLbl>
            <c:dLbl>
              <c:idx val="13"/>
              <c:layout>
                <c:manualLayout>
                  <c:x val="-3.2406208680152093E-2"/>
                  <c:y val="-0.16290283233650396"/>
                </c:manualLayout>
              </c:layout>
              <c:showLegendKey val="0"/>
              <c:showVal val="1"/>
              <c:showCatName val="0"/>
              <c:showSerName val="0"/>
              <c:showPercent val="0"/>
              <c:showBubbleSize val="0"/>
            </c:dLbl>
            <c:dLbl>
              <c:idx val="14"/>
              <c:layout>
                <c:manualLayout>
                  <c:x val="-2.1367521367521368E-2"/>
                  <c:y val="-0.15322594109194604"/>
                </c:manualLayout>
              </c:layout>
              <c:showLegendKey val="0"/>
              <c:showVal val="1"/>
              <c:showCatName val="0"/>
              <c:showSerName val="0"/>
              <c:showPercent val="0"/>
              <c:showBubbleSize val="0"/>
            </c:dLbl>
            <c:dLbl>
              <c:idx val="15"/>
              <c:layout>
                <c:manualLayout>
                  <c:x val="3.2908984502589122E-3"/>
                  <c:y val="1.6316133872807816E-2"/>
                </c:manualLayout>
              </c:layout>
              <c:showLegendKey val="0"/>
              <c:showVal val="1"/>
              <c:showCatName val="0"/>
              <c:showSerName val="0"/>
              <c:showPercent val="0"/>
              <c:showBubbleSize val="0"/>
            </c:dLbl>
            <c:dLbl>
              <c:idx val="16"/>
              <c:layout>
                <c:manualLayout>
                  <c:x val="-5.5945403217332615E-2"/>
                  <c:y val="2.1754416918760212E-2"/>
                </c:manualLayout>
              </c:layout>
              <c:showLegendKey val="0"/>
              <c:showVal val="1"/>
              <c:showCatName val="0"/>
              <c:showSerName val="0"/>
              <c:showPercent val="0"/>
              <c:showBubbleSize val="0"/>
            </c:dLbl>
            <c:dLbl>
              <c:idx val="17"/>
              <c:layout>
                <c:manualLayout>
                  <c:x val="-6.0881750892720986E-2"/>
                  <c:y val="1.6316133872807816E-2"/>
                </c:manualLayout>
              </c:layout>
              <c:showLegendKey val="0"/>
              <c:showVal val="1"/>
              <c:showCatName val="0"/>
              <c:showSerName val="0"/>
              <c:showPercent val="0"/>
              <c:showBubbleSize val="0"/>
            </c:dLbl>
            <c:dLbl>
              <c:idx val="18"/>
              <c:layout>
                <c:manualLayout>
                  <c:x val="-5.5945273654401502E-2"/>
                  <c:y val="3.8070979036551565E-2"/>
                </c:manualLayout>
              </c:layout>
              <c:showLegendKey val="0"/>
              <c:showVal val="1"/>
              <c:showCatName val="0"/>
              <c:showSerName val="0"/>
              <c:showPercent val="0"/>
              <c:showBubbleSize val="0"/>
            </c:dLbl>
            <c:dLbl>
              <c:idx val="19"/>
              <c:layout>
                <c:manualLayout>
                  <c:x val="-4.1136230628236521E-2"/>
                  <c:y val="5.9825824200295315E-2"/>
                </c:manualLayout>
              </c:layout>
              <c:showLegendKey val="0"/>
              <c:showVal val="1"/>
              <c:showCatName val="0"/>
              <c:showSerName val="0"/>
              <c:showPercent val="0"/>
              <c:showBubbleSize val="0"/>
            </c:dLbl>
            <c:dLbl>
              <c:idx val="20"/>
              <c:layout>
                <c:manualLayout>
                  <c:x val="-2.3036289151812505E-2"/>
                  <c:y val="4.3509690327487402E-2"/>
                </c:manualLayout>
              </c:layout>
              <c:showLegendKey val="0"/>
              <c:showVal val="1"/>
              <c:showCatName val="0"/>
              <c:showSerName val="0"/>
              <c:showPercent val="0"/>
              <c:showBubbleSize val="0"/>
            </c:dLbl>
            <c:dLbl>
              <c:idx val="21"/>
              <c:layout>
                <c:manualLayout>
                  <c:x val="-8.227246125647401E-3"/>
                  <c:y val="2.1754845163743753E-2"/>
                </c:manualLayout>
              </c:layout>
              <c:showLegendKey val="0"/>
              <c:showVal val="1"/>
              <c:showCatName val="0"/>
              <c:showSerName val="0"/>
              <c:showPercent val="0"/>
              <c:showBubbleSize val="0"/>
            </c:dLbl>
            <c:txPr>
              <a:bodyPr/>
              <a:lstStyle/>
              <a:p>
                <a:pPr>
                  <a:defRPr sz="1000" b="1">
                    <a:latin typeface="Arial" pitchFamily="34" charset="0"/>
                    <a:cs typeface="Arial" pitchFamily="34" charset="0"/>
                  </a:defRPr>
                </a:pPr>
                <a:endParaRPr lang="ru-RU"/>
              </a:p>
            </c:txPr>
            <c:showLegendKey val="0"/>
            <c:showVal val="1"/>
            <c:showCatName val="0"/>
            <c:showSerName val="0"/>
            <c:showPercent val="0"/>
            <c:showBubbleSize val="0"/>
            <c:showLeaderLines val="0"/>
          </c:dLbls>
          <c:cat>
            <c:numRef>
              <c:f>Лист1!$A$2:$A$12</c:f>
              <c:numCache>
                <c:formatCode>mmm\-yy</c:formatCode>
                <c:ptCount val="11"/>
                <c:pt idx="0">
                  <c:v>44562</c:v>
                </c:pt>
                <c:pt idx="1">
                  <c:v>44621</c:v>
                </c:pt>
                <c:pt idx="2">
                  <c:v>44713</c:v>
                </c:pt>
                <c:pt idx="3">
                  <c:v>44805</c:v>
                </c:pt>
                <c:pt idx="4">
                  <c:v>44896</c:v>
                </c:pt>
                <c:pt idx="5">
                  <c:v>44927</c:v>
                </c:pt>
                <c:pt idx="6">
                  <c:v>44958</c:v>
                </c:pt>
                <c:pt idx="7">
                  <c:v>44986</c:v>
                </c:pt>
                <c:pt idx="8">
                  <c:v>45017</c:v>
                </c:pt>
                <c:pt idx="9">
                  <c:v>45047</c:v>
                </c:pt>
                <c:pt idx="10">
                  <c:v>45078</c:v>
                </c:pt>
              </c:numCache>
            </c:numRef>
          </c:cat>
          <c:val>
            <c:numRef>
              <c:f>Лист1!$D$2:$D$12</c:f>
              <c:numCache>
                <c:formatCode>0.0</c:formatCode>
                <c:ptCount val="11"/>
                <c:pt idx="0">
                  <c:v>106.3</c:v>
                </c:pt>
                <c:pt idx="1">
                  <c:v>103.2</c:v>
                </c:pt>
                <c:pt idx="2">
                  <c:v>94.7</c:v>
                </c:pt>
                <c:pt idx="3">
                  <c:v>94.4</c:v>
                </c:pt>
                <c:pt idx="4">
                  <c:v>94.8</c:v>
                </c:pt>
                <c:pt idx="5">
                  <c:v>94.2</c:v>
                </c:pt>
                <c:pt idx="6">
                  <c:v>94.6</c:v>
                </c:pt>
                <c:pt idx="7">
                  <c:v>96.3</c:v>
                </c:pt>
                <c:pt idx="8">
                  <c:v>100</c:v>
                </c:pt>
                <c:pt idx="9">
                  <c:v>102</c:v>
                </c:pt>
                <c:pt idx="10">
                  <c:v>103</c:v>
                </c:pt>
              </c:numCache>
            </c:numRef>
          </c:val>
          <c:smooth val="0"/>
        </c:ser>
        <c:dLbls>
          <c:showLegendKey val="0"/>
          <c:showVal val="0"/>
          <c:showCatName val="0"/>
          <c:showSerName val="0"/>
          <c:showPercent val="0"/>
          <c:showBubbleSize val="0"/>
        </c:dLbls>
        <c:marker val="1"/>
        <c:smooth val="0"/>
        <c:axId val="135378432"/>
        <c:axId val="96997312"/>
      </c:lineChart>
      <c:dateAx>
        <c:axId val="135378432"/>
        <c:scaling>
          <c:orientation val="minMax"/>
          <c:max val="45078"/>
          <c:min val="44562"/>
        </c:scaling>
        <c:delete val="0"/>
        <c:axPos val="b"/>
        <c:numFmt formatCode="mmm\-yy" sourceLinked="1"/>
        <c:majorTickMark val="out"/>
        <c:minorTickMark val="none"/>
        <c:tickLblPos val="nextTo"/>
        <c:txPr>
          <a:bodyPr rot="-660000"/>
          <a:lstStyle/>
          <a:p>
            <a:pPr>
              <a:defRPr sz="800">
                <a:latin typeface="Arial" panose="020B0604020202020204" pitchFamily="34" charset="0"/>
                <a:cs typeface="Arial" panose="020B0604020202020204" pitchFamily="34" charset="0"/>
              </a:defRPr>
            </a:pPr>
            <a:endParaRPr lang="ru-RU"/>
          </a:p>
        </c:txPr>
        <c:crossAx val="96997312"/>
        <c:crosses val="autoZero"/>
        <c:auto val="1"/>
        <c:lblOffset val="100"/>
        <c:baseTimeUnit val="months"/>
        <c:majorUnit val="3"/>
        <c:majorTimeUnit val="months"/>
        <c:minorUnit val="3"/>
        <c:minorTimeUnit val="months"/>
      </c:dateAx>
      <c:valAx>
        <c:axId val="96997312"/>
        <c:scaling>
          <c:orientation val="minMax"/>
          <c:max val="114"/>
          <c:min val="90"/>
        </c:scaling>
        <c:delete val="0"/>
        <c:axPos val="l"/>
        <c:majorGridlines>
          <c:spPr>
            <a:ln>
              <a:noFill/>
            </a:ln>
          </c:spPr>
        </c:majorGridlines>
        <c:numFmt formatCode="0.0" sourceLinked="1"/>
        <c:majorTickMark val="out"/>
        <c:minorTickMark val="none"/>
        <c:tickLblPos val="nextTo"/>
        <c:txPr>
          <a:bodyPr/>
          <a:lstStyle/>
          <a:p>
            <a:pPr>
              <a:defRPr sz="1050"/>
            </a:pPr>
            <a:endParaRPr lang="ru-RU"/>
          </a:p>
        </c:txPr>
        <c:crossAx val="135378432"/>
        <c:crosses val="autoZero"/>
        <c:crossBetween val="between"/>
        <c:majorUnit val="5"/>
      </c:valAx>
    </c:plotArea>
    <c:legend>
      <c:legendPos val="r"/>
      <c:layout>
        <c:manualLayout>
          <c:xMode val="edge"/>
          <c:yMode val="edge"/>
          <c:x val="0.18557609574286008"/>
          <c:y val="0.86982637235387428"/>
          <c:w val="0.61361693736156142"/>
          <c:h val="0.13017377466985347"/>
        </c:manualLayout>
      </c:layout>
      <c:overlay val="0"/>
      <c:txPr>
        <a:bodyPr/>
        <a:lstStyle/>
        <a:p>
          <a:pPr>
            <a:defRPr sz="1200" b="1">
              <a:latin typeface="Arial" panose="020B0604020202020204" pitchFamily="34" charset="0"/>
              <a:cs typeface="Arial" panose="020B0604020202020204" pitchFamily="34" charset="0"/>
            </a:defRPr>
          </a:pPr>
          <a:endParaRPr lang="ru-RU"/>
        </a:p>
      </c:txPr>
    </c:legend>
    <c:plotVisOnly val="1"/>
    <c:dispBlanksAs val="zero"/>
    <c:showDLblsOverMax val="0"/>
  </c:chart>
  <c:spPr>
    <a:ln>
      <a:noFill/>
    </a:ln>
  </c:spPr>
  <c:txPr>
    <a:bodyPr/>
    <a:lstStyle/>
    <a:p>
      <a:pPr>
        <a:defRPr sz="1800"/>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4.4787243148136792E-2"/>
          <c:y val="3.9698024705262708E-2"/>
          <c:w val="0.97676952760659785"/>
          <c:h val="0.62591329761324888"/>
        </c:manualLayout>
      </c:layout>
      <c:bar3DChart>
        <c:barDir val="col"/>
        <c:grouping val="clustered"/>
        <c:varyColors val="0"/>
        <c:ser>
          <c:idx val="0"/>
          <c:order val="0"/>
          <c:tx>
            <c:strRef>
              <c:f>Лист1!$B$1</c:f>
              <c:strCache>
                <c:ptCount val="1"/>
                <c:pt idx="0">
                  <c:v>Доля непродовольственных товаров, % 
</c:v>
                </c:pt>
              </c:strCache>
            </c:strRef>
          </c:tx>
          <c:spPr>
            <a:solidFill>
              <a:srgbClr val="001C54"/>
            </a:solidFill>
          </c:spPr>
          <c:invertIfNegative val="0"/>
          <c:dLbls>
            <c:dLbl>
              <c:idx val="0"/>
              <c:layout>
                <c:manualLayout>
                  <c:x val="2.5020510381629595E-2"/>
                  <c:y val="-6.8048238439583492E-2"/>
                </c:manualLayout>
              </c:layout>
              <c:tx>
                <c:rich>
                  <a:bodyPr/>
                  <a:lstStyle/>
                  <a:p>
                    <a:r>
                      <a:rPr lang="ru-RU" sz="1200" b="1" dirty="0" smtClean="0"/>
                      <a:t>50,1</a:t>
                    </a:r>
                    <a:endParaRPr lang="en-US" dirty="0"/>
                  </a:p>
                </c:rich>
              </c:tx>
              <c:showLegendKey val="0"/>
              <c:showVal val="1"/>
              <c:showCatName val="0"/>
              <c:showSerName val="0"/>
              <c:showPercent val="0"/>
              <c:showBubbleSize val="0"/>
            </c:dLbl>
            <c:dLbl>
              <c:idx val="1"/>
              <c:layout>
                <c:manualLayout>
                  <c:x val="3.4119176349872528E-2"/>
                  <c:y val="-8.2198189565414734E-2"/>
                </c:manualLayout>
              </c:layout>
              <c:tx>
                <c:rich>
                  <a:bodyPr/>
                  <a:lstStyle/>
                  <a:p>
                    <a:r>
                      <a:rPr lang="en-US"/>
                      <a:t>5</a:t>
                    </a:r>
                    <a:r>
                      <a:rPr lang="ru-RU"/>
                      <a:t>0,5</a:t>
                    </a:r>
                    <a:endParaRPr lang="en-US"/>
                  </a:p>
                </c:rich>
              </c:tx>
              <c:showLegendKey val="0"/>
              <c:showVal val="1"/>
              <c:showCatName val="0"/>
              <c:showSerName val="0"/>
              <c:showPercent val="0"/>
              <c:showBubbleSize val="0"/>
            </c:dLbl>
            <c:dLbl>
              <c:idx val="2"/>
              <c:layout>
                <c:manualLayout>
                  <c:x val="3.8668321493834937E-2"/>
                  <c:y val="-4.0059662622704779E-2"/>
                </c:manualLayout>
              </c:layout>
              <c:showLegendKey val="0"/>
              <c:showVal val="1"/>
              <c:showCatName val="0"/>
              <c:showSerName val="0"/>
              <c:showPercent val="0"/>
              <c:showBubbleSize val="0"/>
            </c:dLbl>
            <c:txPr>
              <a:bodyPr/>
              <a:lstStyle/>
              <a:p>
                <a:pPr>
                  <a:defRPr sz="1200" b="1">
                    <a:latin typeface="Arial" pitchFamily="34" charset="0"/>
                    <a:cs typeface="Arial" pitchFamily="34" charset="0"/>
                  </a:defRPr>
                </a:pPr>
                <a:endParaRPr lang="ru-RU"/>
              </a:p>
            </c:txPr>
            <c:showLegendKey val="0"/>
            <c:showVal val="1"/>
            <c:showCatName val="0"/>
            <c:showSerName val="0"/>
            <c:showPercent val="0"/>
            <c:showBubbleSize val="0"/>
            <c:showLeaderLines val="0"/>
          </c:dLbls>
          <c:cat>
            <c:strRef>
              <c:f>Лист1!$A$2:$A$3</c:f>
              <c:strCache>
                <c:ptCount val="2"/>
                <c:pt idx="0">
                  <c:v>I полуг. 2022 г.</c:v>
                </c:pt>
                <c:pt idx="1">
                  <c:v>I полуг. 2023 г.</c:v>
                </c:pt>
              </c:strCache>
            </c:strRef>
          </c:cat>
          <c:val>
            <c:numRef>
              <c:f>Лист1!$B$2:$B$3</c:f>
              <c:numCache>
                <c:formatCode>General</c:formatCode>
                <c:ptCount val="2"/>
                <c:pt idx="0">
                  <c:v>50.1</c:v>
                </c:pt>
                <c:pt idx="1">
                  <c:v>50.5</c:v>
                </c:pt>
              </c:numCache>
            </c:numRef>
          </c:val>
        </c:ser>
        <c:dLbls>
          <c:showLegendKey val="0"/>
          <c:showVal val="0"/>
          <c:showCatName val="0"/>
          <c:showSerName val="0"/>
          <c:showPercent val="0"/>
          <c:showBubbleSize val="0"/>
        </c:dLbls>
        <c:gapWidth val="150"/>
        <c:shape val="box"/>
        <c:axId val="135825920"/>
        <c:axId val="96999040"/>
        <c:axId val="0"/>
      </c:bar3DChart>
      <c:catAx>
        <c:axId val="135825920"/>
        <c:scaling>
          <c:orientation val="minMax"/>
        </c:scaling>
        <c:delete val="0"/>
        <c:axPos val="b"/>
        <c:majorTickMark val="out"/>
        <c:minorTickMark val="none"/>
        <c:tickLblPos val="low"/>
        <c:txPr>
          <a:bodyPr rot="0" anchor="ctr" anchorCtr="1"/>
          <a:lstStyle/>
          <a:p>
            <a:pPr>
              <a:defRPr sz="1100" b="1">
                <a:latin typeface="Arial" pitchFamily="34" charset="0"/>
                <a:cs typeface="Arial" pitchFamily="34" charset="0"/>
              </a:defRPr>
            </a:pPr>
            <a:endParaRPr lang="ru-RU"/>
          </a:p>
        </c:txPr>
        <c:crossAx val="96999040"/>
        <c:crosses val="autoZero"/>
        <c:auto val="1"/>
        <c:lblAlgn val="ctr"/>
        <c:lblOffset val="100"/>
        <c:tickLblSkip val="1"/>
        <c:noMultiLvlLbl val="0"/>
      </c:catAx>
      <c:valAx>
        <c:axId val="96999040"/>
        <c:scaling>
          <c:orientation val="minMax"/>
        </c:scaling>
        <c:delete val="1"/>
        <c:axPos val="l"/>
        <c:majorGridlines>
          <c:spPr>
            <a:ln>
              <a:noFill/>
            </a:ln>
          </c:spPr>
        </c:majorGridlines>
        <c:numFmt formatCode="General" sourceLinked="1"/>
        <c:majorTickMark val="out"/>
        <c:minorTickMark val="none"/>
        <c:tickLblPos val="nextTo"/>
        <c:crossAx val="135825920"/>
        <c:crosses val="autoZero"/>
        <c:crossBetween val="between"/>
      </c:valAx>
    </c:plotArea>
    <c:plotVisOnly val="1"/>
    <c:dispBlanksAs val="gap"/>
    <c:showDLblsOverMax val="0"/>
  </c:chart>
  <c:spPr>
    <a:ln>
      <a:noFill/>
    </a:ln>
  </c:spPr>
  <c:txPr>
    <a:bodyPr/>
    <a:lstStyle/>
    <a:p>
      <a:pPr>
        <a:defRPr sz="180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
          <c:y val="8.5470085470085472E-2"/>
          <c:w val="1"/>
          <c:h val="0.67985839471678944"/>
        </c:manualLayout>
      </c:layout>
      <c:bar3DChart>
        <c:barDir val="col"/>
        <c:grouping val="clustered"/>
        <c:varyColors val="0"/>
        <c:ser>
          <c:idx val="0"/>
          <c:order val="0"/>
          <c:tx>
            <c:strRef>
              <c:f>Лист1!$B$1</c:f>
              <c:strCache>
                <c:ptCount val="1"/>
                <c:pt idx="0">
                  <c:v>Доля местной продукции  в общем объеме реализаци, % </c:v>
                </c:pt>
              </c:strCache>
            </c:strRef>
          </c:tx>
          <c:spPr>
            <a:solidFill>
              <a:srgbClr val="001C54"/>
            </a:solidFill>
          </c:spPr>
          <c:invertIfNegative val="0"/>
          <c:dLbls>
            <c:dLbl>
              <c:idx val="0"/>
              <c:layout>
                <c:manualLayout>
                  <c:x val="2.302025782688762E-2"/>
                  <c:y val="-4.5782490810832244E-2"/>
                </c:manualLayout>
              </c:layout>
              <c:tx>
                <c:rich>
                  <a:bodyPr/>
                  <a:lstStyle/>
                  <a:p>
                    <a:r>
                      <a:rPr lang="en-US"/>
                      <a:t>9</a:t>
                    </a:r>
                    <a:r>
                      <a:rPr lang="ru-RU"/>
                      <a:t>6,7</a:t>
                    </a:r>
                    <a:endParaRPr lang="en-US"/>
                  </a:p>
                </c:rich>
              </c:tx>
              <c:showLegendKey val="0"/>
              <c:showVal val="1"/>
              <c:showCatName val="0"/>
              <c:showSerName val="0"/>
              <c:showPercent val="0"/>
              <c:showBubbleSize val="0"/>
            </c:dLbl>
            <c:dLbl>
              <c:idx val="1"/>
              <c:layout>
                <c:manualLayout>
                  <c:x val="3.6832412523020261E-2"/>
                  <c:y val="-5.150530216218633E-2"/>
                </c:manualLayout>
              </c:layout>
              <c:showLegendKey val="0"/>
              <c:showVal val="1"/>
              <c:showCatName val="0"/>
              <c:showSerName val="0"/>
              <c:showPercent val="0"/>
              <c:showBubbleSize val="0"/>
            </c:dLbl>
            <c:dLbl>
              <c:idx val="2"/>
              <c:layout>
                <c:manualLayout>
                  <c:x val="2.3020257826887661E-2"/>
                  <c:y val="-4.5782490810832244E-2"/>
                </c:manualLayout>
              </c:layout>
              <c:tx>
                <c:rich>
                  <a:bodyPr/>
                  <a:lstStyle/>
                  <a:p>
                    <a:r>
                      <a:rPr lang="en-US"/>
                      <a:t>96,</a:t>
                    </a:r>
                    <a:r>
                      <a:rPr lang="ru-RU"/>
                      <a:t>6</a:t>
                    </a:r>
                    <a:endParaRPr lang="en-US"/>
                  </a:p>
                </c:rich>
              </c:tx>
              <c:showLegendKey val="0"/>
              <c:showVal val="1"/>
              <c:showCatName val="0"/>
              <c:showSerName val="0"/>
              <c:showPercent val="0"/>
              <c:showBubbleSize val="0"/>
            </c:dLbl>
            <c:txPr>
              <a:bodyPr/>
              <a:lstStyle/>
              <a:p>
                <a:pPr>
                  <a:defRPr sz="1200" b="1">
                    <a:latin typeface="Arial" pitchFamily="34" charset="0"/>
                    <a:cs typeface="Arial" pitchFamily="34" charset="0"/>
                  </a:defRPr>
                </a:pPr>
                <a:endParaRPr lang="ru-RU"/>
              </a:p>
            </c:txPr>
            <c:showLegendKey val="0"/>
            <c:showVal val="1"/>
            <c:showCatName val="0"/>
            <c:showSerName val="0"/>
            <c:showPercent val="0"/>
            <c:showBubbleSize val="0"/>
            <c:showLeaderLines val="0"/>
          </c:dLbls>
          <c:cat>
            <c:strRef>
              <c:f>Лист1!$A$2:$A$3</c:f>
              <c:strCache>
                <c:ptCount val="2"/>
                <c:pt idx="0">
                  <c:v>1 полуг. 2022 г.</c:v>
                </c:pt>
                <c:pt idx="1">
                  <c:v>1 полуг. 2023 г.</c:v>
                </c:pt>
              </c:strCache>
            </c:strRef>
          </c:cat>
          <c:val>
            <c:numRef>
              <c:f>Лист1!$B$2:$B$3</c:f>
              <c:numCache>
                <c:formatCode>General</c:formatCode>
                <c:ptCount val="2"/>
                <c:pt idx="0">
                  <c:v>96.7</c:v>
                </c:pt>
                <c:pt idx="1">
                  <c:v>96.6</c:v>
                </c:pt>
              </c:numCache>
            </c:numRef>
          </c:val>
        </c:ser>
        <c:dLbls>
          <c:showLegendKey val="0"/>
          <c:showVal val="0"/>
          <c:showCatName val="0"/>
          <c:showSerName val="0"/>
          <c:showPercent val="0"/>
          <c:showBubbleSize val="0"/>
        </c:dLbls>
        <c:gapWidth val="150"/>
        <c:shape val="box"/>
        <c:axId val="147190784"/>
        <c:axId val="97000768"/>
        <c:axId val="0"/>
      </c:bar3DChart>
      <c:catAx>
        <c:axId val="147190784"/>
        <c:scaling>
          <c:orientation val="minMax"/>
        </c:scaling>
        <c:delete val="0"/>
        <c:axPos val="b"/>
        <c:majorTickMark val="out"/>
        <c:minorTickMark val="none"/>
        <c:tickLblPos val="nextTo"/>
        <c:txPr>
          <a:bodyPr/>
          <a:lstStyle/>
          <a:p>
            <a:pPr>
              <a:defRPr sz="1100" b="1">
                <a:latin typeface="Arial" pitchFamily="34" charset="0"/>
                <a:cs typeface="Arial" pitchFamily="34" charset="0"/>
              </a:defRPr>
            </a:pPr>
            <a:endParaRPr lang="ru-RU"/>
          </a:p>
        </c:txPr>
        <c:crossAx val="97000768"/>
        <c:crosses val="autoZero"/>
        <c:auto val="1"/>
        <c:lblAlgn val="ctr"/>
        <c:lblOffset val="100"/>
        <c:noMultiLvlLbl val="0"/>
      </c:catAx>
      <c:valAx>
        <c:axId val="97000768"/>
        <c:scaling>
          <c:orientation val="minMax"/>
        </c:scaling>
        <c:delete val="1"/>
        <c:axPos val="l"/>
        <c:majorGridlines>
          <c:spPr>
            <a:ln>
              <a:noFill/>
            </a:ln>
          </c:spPr>
        </c:majorGridlines>
        <c:numFmt formatCode="General" sourceLinked="1"/>
        <c:majorTickMark val="out"/>
        <c:minorTickMark val="none"/>
        <c:tickLblPos val="nextTo"/>
        <c:crossAx val="147190784"/>
        <c:crosses val="autoZero"/>
        <c:crossBetween val="between"/>
      </c:valAx>
    </c:plotArea>
    <c:plotVisOnly val="1"/>
    <c:dispBlanksAs val="gap"/>
    <c:showDLblsOverMax val="0"/>
  </c:chart>
  <c:spPr>
    <a:ln>
      <a:noFill/>
    </a:ln>
  </c:spPr>
  <c:txPr>
    <a:bodyPr/>
    <a:lstStyle/>
    <a:p>
      <a:pPr>
        <a:defRPr sz="1800"/>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919842984228747E-2"/>
          <c:y val="6.4807187563093088E-2"/>
          <c:w val="0.91979766652632777"/>
          <c:h val="0.56201489348715128"/>
        </c:manualLayout>
      </c:layout>
      <c:lineChart>
        <c:grouping val="standard"/>
        <c:varyColors val="0"/>
        <c:ser>
          <c:idx val="0"/>
          <c:order val="0"/>
          <c:tx>
            <c:strRef>
              <c:f>Лист1!$B$1</c:f>
              <c:strCache>
                <c:ptCount val="1"/>
                <c:pt idx="0">
                  <c:v>Чувашия</c:v>
                </c:pt>
              </c:strCache>
            </c:strRef>
          </c:tx>
          <c:spPr>
            <a:ln>
              <a:solidFill>
                <a:srgbClr val="C00000"/>
              </a:solidFill>
            </a:ln>
          </c:spPr>
          <c:marker>
            <c:spPr>
              <a:solidFill>
                <a:srgbClr val="FFC000"/>
              </a:solidFill>
              <a:ln>
                <a:solidFill>
                  <a:schemeClr val="tx1">
                    <a:lumMod val="75000"/>
                    <a:lumOff val="25000"/>
                  </a:schemeClr>
                </a:solidFill>
              </a:ln>
            </c:spPr>
          </c:marker>
          <c:dLbls>
            <c:dLbl>
              <c:idx val="0"/>
              <c:layout>
                <c:manualLayout>
                  <c:x val="-4.7527303326559578E-2"/>
                  <c:y val="-5.636069649882032E-2"/>
                </c:manualLayout>
              </c:layout>
              <c:showLegendKey val="0"/>
              <c:showVal val="1"/>
              <c:showCatName val="0"/>
              <c:showSerName val="0"/>
              <c:showPercent val="0"/>
              <c:showBubbleSize val="0"/>
            </c:dLbl>
            <c:dLbl>
              <c:idx val="1"/>
              <c:layout>
                <c:manualLayout>
                  <c:x val="-4.1039461333121918E-2"/>
                  <c:y val="-6.3090620087249208E-2"/>
                </c:manualLayout>
              </c:layout>
              <c:showLegendKey val="0"/>
              <c:showVal val="1"/>
              <c:showCatName val="0"/>
              <c:showSerName val="0"/>
              <c:showPercent val="0"/>
              <c:showBubbleSize val="0"/>
            </c:dLbl>
            <c:dLbl>
              <c:idx val="2"/>
              <c:layout>
                <c:manualLayout>
                  <c:x val="-4.6855014737103316E-2"/>
                  <c:y val="-6.4446570448379217E-2"/>
                </c:manualLayout>
              </c:layout>
              <c:showLegendKey val="0"/>
              <c:showVal val="1"/>
              <c:showCatName val="0"/>
              <c:showSerName val="0"/>
              <c:showPercent val="0"/>
              <c:showBubbleSize val="0"/>
            </c:dLbl>
            <c:dLbl>
              <c:idx val="3"/>
              <c:layout>
                <c:manualLayout>
                  <c:x val="-5.2584976995720942E-2"/>
                  <c:y val="-9.6551513656668642E-2"/>
                </c:manualLayout>
              </c:layout>
              <c:showLegendKey val="0"/>
              <c:showVal val="1"/>
              <c:showCatName val="0"/>
              <c:showSerName val="0"/>
              <c:showPercent val="0"/>
              <c:showBubbleSize val="0"/>
            </c:dLbl>
            <c:dLbl>
              <c:idx val="4"/>
              <c:layout>
                <c:manualLayout>
                  <c:x val="-6.0757770144847623E-2"/>
                  <c:y val="-7.374220183095255E-2"/>
                </c:manualLayout>
              </c:layout>
              <c:showLegendKey val="0"/>
              <c:showVal val="1"/>
              <c:showCatName val="0"/>
              <c:showSerName val="0"/>
              <c:showPercent val="0"/>
              <c:showBubbleSize val="0"/>
            </c:dLbl>
            <c:dLbl>
              <c:idx val="5"/>
              <c:layout>
                <c:manualLayout>
                  <c:x val="-4.0025969282399522E-2"/>
                  <c:y val="-8.6835011298548259E-2"/>
                </c:manualLayout>
              </c:layout>
              <c:showLegendKey val="0"/>
              <c:showVal val="1"/>
              <c:showCatName val="0"/>
              <c:showSerName val="0"/>
              <c:showPercent val="0"/>
              <c:showBubbleSize val="0"/>
            </c:dLbl>
            <c:dLbl>
              <c:idx val="6"/>
              <c:layout>
                <c:manualLayout>
                  <c:x val="-3.8089732094348842E-2"/>
                  <c:y val="-9.6618547681539796E-2"/>
                </c:manualLayout>
              </c:layout>
              <c:showLegendKey val="0"/>
              <c:showVal val="1"/>
              <c:showCatName val="0"/>
              <c:showSerName val="0"/>
              <c:showPercent val="0"/>
              <c:showBubbleSize val="0"/>
            </c:dLbl>
            <c:dLbl>
              <c:idx val="7"/>
              <c:layout>
                <c:manualLayout>
                  <c:x val="-4.221860813706628E-2"/>
                  <c:y val="-5.6360511478308201E-2"/>
                </c:manualLayout>
              </c:layout>
              <c:showLegendKey val="0"/>
              <c:showVal val="1"/>
              <c:showCatName val="0"/>
              <c:showSerName val="0"/>
              <c:showPercent val="0"/>
              <c:showBubbleSize val="0"/>
            </c:dLbl>
            <c:dLbl>
              <c:idx val="8"/>
              <c:layout>
                <c:manualLayout>
                  <c:x val="-4.4662428632047758E-2"/>
                  <c:y val="-0.11336027951949824"/>
                </c:manualLayout>
              </c:layout>
              <c:showLegendKey val="0"/>
              <c:showVal val="1"/>
              <c:showCatName val="0"/>
              <c:showSerName val="0"/>
              <c:showPercent val="0"/>
              <c:showBubbleSize val="0"/>
            </c:dLbl>
            <c:dLbl>
              <c:idx val="9"/>
              <c:layout>
                <c:manualLayout>
                  <c:x val="-4.9466208167949735E-2"/>
                  <c:y val="-0.11336043988350163"/>
                </c:manualLayout>
              </c:layout>
              <c:showLegendKey val="0"/>
              <c:showVal val="1"/>
              <c:showCatName val="0"/>
              <c:showSerName val="0"/>
              <c:showPercent val="0"/>
              <c:showBubbleSize val="0"/>
            </c:dLbl>
            <c:dLbl>
              <c:idx val="10"/>
              <c:layout>
                <c:manualLayout>
                  <c:x val="-4.9212825047866095E-2"/>
                  <c:y val="-9.6938082826950808E-2"/>
                </c:manualLayout>
              </c:layout>
              <c:showLegendKey val="0"/>
              <c:showVal val="1"/>
              <c:showCatName val="0"/>
              <c:showSerName val="0"/>
              <c:showPercent val="0"/>
              <c:showBubbleSize val="0"/>
            </c:dLbl>
            <c:dLbl>
              <c:idx val="11"/>
              <c:layout>
                <c:manualLayout>
                  <c:x val="-4.8791642571844117E-2"/>
                  <c:y val="-0.10371115831462747"/>
                </c:manualLayout>
              </c:layout>
              <c:showLegendKey val="0"/>
              <c:showVal val="1"/>
              <c:showCatName val="0"/>
              <c:showSerName val="0"/>
              <c:showPercent val="0"/>
              <c:showBubbleSize val="0"/>
            </c:dLbl>
            <c:dLbl>
              <c:idx val="12"/>
              <c:layout>
                <c:manualLayout>
                  <c:x val="-2.2500292382866448E-2"/>
                  <c:y val="-0.10503999500062493"/>
                </c:manualLayout>
              </c:layout>
              <c:showLegendKey val="0"/>
              <c:showVal val="1"/>
              <c:showCatName val="0"/>
              <c:showSerName val="0"/>
              <c:showPercent val="0"/>
              <c:showBubbleSize val="0"/>
            </c:dLbl>
            <c:dLbl>
              <c:idx val="13"/>
              <c:layout>
                <c:manualLayout>
                  <c:x val="-3.3116325061137271E-2"/>
                  <c:y val="-9.631325154123177E-2"/>
                </c:manualLayout>
              </c:layout>
              <c:showLegendKey val="0"/>
              <c:showVal val="1"/>
              <c:showCatName val="0"/>
              <c:showSerName val="0"/>
              <c:showPercent val="0"/>
              <c:showBubbleSize val="0"/>
            </c:dLbl>
            <c:dLbl>
              <c:idx val="14"/>
              <c:layout>
                <c:manualLayout>
                  <c:x val="-1.9128416470064982E-2"/>
                  <c:y val="-8.0197155588109664E-2"/>
                </c:manualLayout>
              </c:layout>
              <c:showLegendKey val="0"/>
              <c:showVal val="1"/>
              <c:showCatName val="0"/>
              <c:showSerName val="0"/>
              <c:showPercent val="0"/>
              <c:showBubbleSize val="0"/>
            </c:dLbl>
            <c:dLbl>
              <c:idx val="15"/>
              <c:layout>
                <c:manualLayout>
                  <c:x val="-2.7555239223415656E-2"/>
                  <c:y val="-7.9916376731978336E-2"/>
                </c:manualLayout>
              </c:layout>
              <c:showLegendKey val="0"/>
              <c:showVal val="1"/>
              <c:showCatName val="0"/>
              <c:showSerName val="0"/>
              <c:showPercent val="0"/>
              <c:showBubbleSize val="0"/>
            </c:dLbl>
            <c:dLbl>
              <c:idx val="16"/>
              <c:layout>
                <c:manualLayout>
                  <c:x val="-1.7780569072433101E-2"/>
                  <c:y val="-7.2144060423747949E-2"/>
                </c:manualLayout>
              </c:layout>
              <c:showLegendKey val="0"/>
              <c:showVal val="1"/>
              <c:showCatName val="0"/>
              <c:showSerName val="0"/>
              <c:showPercent val="0"/>
              <c:showBubbleSize val="0"/>
            </c:dLbl>
            <c:dLbl>
              <c:idx val="17"/>
              <c:layout>
                <c:manualLayout>
                  <c:x val="0"/>
                  <c:y val="-6.4113410242324365E-2"/>
                </c:manualLayout>
              </c:layout>
              <c:showLegendKey val="0"/>
              <c:showVal val="1"/>
              <c:showCatName val="0"/>
              <c:showSerName val="0"/>
              <c:showPercent val="0"/>
              <c:showBubbleSize val="0"/>
            </c:dLbl>
            <c:txPr>
              <a:bodyPr/>
              <a:lstStyle/>
              <a:p>
                <a:pPr>
                  <a:defRPr sz="1000" b="1" baseline="0">
                    <a:latin typeface="Arial" pitchFamily="34" charset="0"/>
                  </a:defRPr>
                </a:pPr>
                <a:endParaRPr lang="ru-RU"/>
              </a:p>
            </c:txPr>
            <c:showLegendKey val="0"/>
            <c:showVal val="1"/>
            <c:showCatName val="0"/>
            <c:showSerName val="0"/>
            <c:showPercent val="0"/>
            <c:showBubbleSize val="0"/>
            <c:showLeaderLines val="0"/>
          </c:dLbls>
          <c:cat>
            <c:numRef>
              <c:f>Лист1!$A$2:$A$14</c:f>
              <c:numCache>
                <c:formatCode>mmm\-yy</c:formatCode>
                <c:ptCount val="13"/>
                <c:pt idx="0">
                  <c:v>44713</c:v>
                </c:pt>
                <c:pt idx="1">
                  <c:v>44743</c:v>
                </c:pt>
                <c:pt idx="2">
                  <c:v>44774</c:v>
                </c:pt>
                <c:pt idx="3">
                  <c:v>44805</c:v>
                </c:pt>
                <c:pt idx="4">
                  <c:v>44835</c:v>
                </c:pt>
                <c:pt idx="5">
                  <c:v>44866</c:v>
                </c:pt>
                <c:pt idx="6">
                  <c:v>44896</c:v>
                </c:pt>
                <c:pt idx="7">
                  <c:v>44927</c:v>
                </c:pt>
                <c:pt idx="8">
                  <c:v>44958</c:v>
                </c:pt>
                <c:pt idx="9">
                  <c:v>44986</c:v>
                </c:pt>
                <c:pt idx="10">
                  <c:v>45017</c:v>
                </c:pt>
                <c:pt idx="11">
                  <c:v>45047</c:v>
                </c:pt>
                <c:pt idx="12">
                  <c:v>45078</c:v>
                </c:pt>
              </c:numCache>
            </c:numRef>
          </c:cat>
          <c:val>
            <c:numRef>
              <c:f>Лист1!$B$2:$B$14</c:f>
              <c:numCache>
                <c:formatCode>0.0</c:formatCode>
                <c:ptCount val="13"/>
                <c:pt idx="0">
                  <c:v>103.2</c:v>
                </c:pt>
                <c:pt idx="1">
                  <c:v>103.7</c:v>
                </c:pt>
                <c:pt idx="2">
                  <c:v>104.6</c:v>
                </c:pt>
                <c:pt idx="3">
                  <c:v>103.9</c:v>
                </c:pt>
                <c:pt idx="4">
                  <c:v>102.4</c:v>
                </c:pt>
                <c:pt idx="5">
                  <c:v>101.5</c:v>
                </c:pt>
                <c:pt idx="6">
                  <c:v>101.5</c:v>
                </c:pt>
                <c:pt idx="7">
                  <c:v>95</c:v>
                </c:pt>
                <c:pt idx="8">
                  <c:v>92.5</c:v>
                </c:pt>
                <c:pt idx="9">
                  <c:v>97.1</c:v>
                </c:pt>
                <c:pt idx="10">
                  <c:v>102.2</c:v>
                </c:pt>
                <c:pt idx="11">
                  <c:v>111.1</c:v>
                </c:pt>
                <c:pt idx="12">
                  <c:v>115.8</c:v>
                </c:pt>
              </c:numCache>
            </c:numRef>
          </c:val>
          <c:smooth val="0"/>
        </c:ser>
        <c:dLbls>
          <c:showLegendKey val="0"/>
          <c:showVal val="0"/>
          <c:showCatName val="0"/>
          <c:showSerName val="0"/>
          <c:showPercent val="0"/>
          <c:showBubbleSize val="0"/>
        </c:dLbls>
        <c:marker val="1"/>
        <c:smooth val="0"/>
        <c:axId val="147191296"/>
        <c:axId val="179029120"/>
      </c:lineChart>
      <c:dateAx>
        <c:axId val="147191296"/>
        <c:scaling>
          <c:orientation val="minMax"/>
          <c:max val="45078"/>
          <c:min val="44713"/>
        </c:scaling>
        <c:delete val="0"/>
        <c:axPos val="b"/>
        <c:numFmt formatCode="mmm\-yy" sourceLinked="1"/>
        <c:majorTickMark val="out"/>
        <c:minorTickMark val="none"/>
        <c:tickLblPos val="nextTo"/>
        <c:txPr>
          <a:bodyPr rot="-660000" vert="horz"/>
          <a:lstStyle/>
          <a:p>
            <a:pPr>
              <a:defRPr sz="800">
                <a:latin typeface="Arial" panose="020B0604020202020204" pitchFamily="34" charset="0"/>
                <a:cs typeface="Arial" panose="020B0604020202020204" pitchFamily="34" charset="0"/>
              </a:defRPr>
            </a:pPr>
            <a:endParaRPr lang="ru-RU"/>
          </a:p>
        </c:txPr>
        <c:crossAx val="179029120"/>
        <c:crosses val="autoZero"/>
        <c:auto val="1"/>
        <c:lblOffset val="100"/>
        <c:baseTimeUnit val="months"/>
        <c:majorUnit val="1"/>
        <c:majorTimeUnit val="months"/>
        <c:minorUnit val="1"/>
        <c:minorTimeUnit val="months"/>
      </c:dateAx>
      <c:valAx>
        <c:axId val="179029120"/>
        <c:scaling>
          <c:orientation val="minMax"/>
          <c:max val="150"/>
          <c:min val="80"/>
        </c:scaling>
        <c:delete val="0"/>
        <c:axPos val="l"/>
        <c:majorGridlines>
          <c:spPr>
            <a:ln>
              <a:noFill/>
            </a:ln>
          </c:spPr>
        </c:majorGridlines>
        <c:numFmt formatCode="0.0" sourceLinked="1"/>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ru-RU"/>
          </a:p>
        </c:txPr>
        <c:crossAx val="147191296"/>
        <c:crosses val="autoZero"/>
        <c:crossBetween val="between"/>
        <c:majorUnit val="20"/>
        <c:minorUnit val="1"/>
      </c:valAx>
    </c:plotArea>
    <c:plotVisOnly val="1"/>
    <c:dispBlanksAs val="zero"/>
    <c:showDLblsOverMax val="0"/>
  </c:chart>
  <c:spPr>
    <a:ln>
      <a:noFill/>
    </a:ln>
  </c:spPr>
  <c:txPr>
    <a:bodyPr/>
    <a:lstStyle/>
    <a:p>
      <a:pPr>
        <a:defRPr sz="1800"/>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178137060793238E-2"/>
          <c:y val="8.9757061561759097E-2"/>
          <c:w val="0.92324157626299019"/>
          <c:h val="0.63355915114269257"/>
        </c:manualLayout>
      </c:layout>
      <c:lineChart>
        <c:grouping val="standard"/>
        <c:varyColors val="0"/>
        <c:ser>
          <c:idx val="0"/>
          <c:order val="0"/>
          <c:tx>
            <c:strRef>
              <c:f>Лист1!$B$1</c:f>
              <c:strCache>
                <c:ptCount val="1"/>
                <c:pt idx="0">
                  <c:v>Россия</c:v>
                </c:pt>
              </c:strCache>
            </c:strRef>
          </c:tx>
          <c:spPr>
            <a:ln>
              <a:solidFill>
                <a:schemeClr val="tx1">
                  <a:lumMod val="75000"/>
                  <a:lumOff val="25000"/>
                </a:schemeClr>
              </a:solidFill>
            </a:ln>
          </c:spPr>
          <c:marker>
            <c:spPr>
              <a:solidFill>
                <a:schemeClr val="tx1">
                  <a:lumMod val="65000"/>
                  <a:lumOff val="35000"/>
                </a:schemeClr>
              </a:solidFill>
              <a:ln>
                <a:solidFill>
                  <a:schemeClr val="tx1">
                    <a:lumMod val="75000"/>
                    <a:lumOff val="25000"/>
                  </a:schemeClr>
                </a:solidFill>
              </a:ln>
            </c:spPr>
          </c:marker>
          <c:dLbls>
            <c:dLbl>
              <c:idx val="0"/>
              <c:layout>
                <c:manualLayout>
                  <c:x val="-3.7388401096599452E-2"/>
                  <c:y val="-0.17059525163467718"/>
                </c:manualLayout>
              </c:layout>
              <c:tx>
                <c:rich>
                  <a:bodyPr/>
                  <a:lstStyle/>
                  <a:p>
                    <a:pPr>
                      <a:defRPr sz="1000" b="1">
                        <a:solidFill>
                          <a:schemeClr val="tx1">
                            <a:lumMod val="75000"/>
                            <a:lumOff val="25000"/>
                          </a:schemeClr>
                        </a:solidFill>
                        <a:latin typeface="Arial" pitchFamily="34" charset="0"/>
                        <a:cs typeface="Arial" pitchFamily="34" charset="0"/>
                      </a:defRPr>
                    </a:pPr>
                    <a:r>
                      <a:rPr lang="ru-RU" sz="1000" b="1" dirty="0" smtClean="0">
                        <a:solidFill>
                          <a:schemeClr val="tx1">
                            <a:lumMod val="75000"/>
                            <a:lumOff val="25000"/>
                          </a:schemeClr>
                        </a:solidFill>
                        <a:latin typeface="Arial" pitchFamily="34" charset="0"/>
                        <a:cs typeface="Arial" pitchFamily="34" charset="0"/>
                      </a:rPr>
                      <a:t>РФ 107,7</a:t>
                    </a:r>
                    <a:endParaRPr lang="en-US" sz="900" b="1" dirty="0">
                      <a:solidFill>
                        <a:schemeClr val="tx1">
                          <a:lumMod val="65000"/>
                          <a:lumOff val="35000"/>
                        </a:schemeClr>
                      </a:solidFill>
                    </a:endParaRPr>
                  </a:p>
                </c:rich>
              </c:tx>
              <c:spPr/>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layout>
                <c:manualLayout>
                  <c:x val="-1.7077704659411216E-2"/>
                  <c:y val="0.11389870066369652"/>
                </c:manualLayout>
              </c:layout>
              <c:spPr/>
              <c:txPr>
                <a:bodyPr/>
                <a:lstStyle/>
                <a:p>
                  <a:pPr>
                    <a:defRPr sz="1000" b="1">
                      <a:solidFill>
                        <a:schemeClr val="tx1">
                          <a:lumMod val="75000"/>
                          <a:lumOff val="25000"/>
                        </a:schemeClr>
                      </a:solidFill>
                      <a:latin typeface="Arial" pitchFamily="34" charset="0"/>
                      <a:cs typeface="Arial" pitchFamily="34" charset="0"/>
                    </a:defRPr>
                  </a:pPr>
                  <a:endParaRPr lang="ru-RU"/>
                </a:p>
              </c:txPr>
              <c:showLegendKey val="0"/>
              <c:showVal val="1"/>
              <c:showCatName val="0"/>
              <c:showSerName val="0"/>
              <c:showPercent val="0"/>
              <c:showBubbleSize val="0"/>
            </c:dLbl>
            <c:txPr>
              <a:bodyPr/>
              <a:lstStyle/>
              <a:p>
                <a:pPr>
                  <a:defRPr sz="1000">
                    <a:solidFill>
                      <a:schemeClr val="tx1">
                        <a:lumMod val="75000"/>
                        <a:lumOff val="25000"/>
                      </a:schemeClr>
                    </a:solidFill>
                    <a:latin typeface="Arial" pitchFamily="34" charset="0"/>
                    <a:cs typeface="Arial" pitchFamily="34" charset="0"/>
                  </a:defRPr>
                </a:pPr>
                <a:endParaRPr lang="ru-RU"/>
              </a:p>
            </c:txPr>
            <c:showLegendKey val="0"/>
            <c:showVal val="1"/>
            <c:showCatName val="0"/>
            <c:showSerName val="0"/>
            <c:showPercent val="0"/>
            <c:showBubbleSize val="0"/>
            <c:showLeaderLines val="0"/>
          </c:dLbls>
          <c:cat>
            <c:numRef>
              <c:f>Лист1!$A$2:$A$14</c:f>
              <c:numCache>
                <c:formatCode>mmm\-yy</c:formatCode>
                <c:ptCount val="13"/>
                <c:pt idx="0">
                  <c:v>44713</c:v>
                </c:pt>
                <c:pt idx="1">
                  <c:v>44743</c:v>
                </c:pt>
                <c:pt idx="2">
                  <c:v>44774</c:v>
                </c:pt>
                <c:pt idx="3">
                  <c:v>44805</c:v>
                </c:pt>
                <c:pt idx="4">
                  <c:v>44835</c:v>
                </c:pt>
                <c:pt idx="5">
                  <c:v>44866</c:v>
                </c:pt>
                <c:pt idx="6">
                  <c:v>44896</c:v>
                </c:pt>
                <c:pt idx="7">
                  <c:v>44927</c:v>
                </c:pt>
                <c:pt idx="8">
                  <c:v>44958</c:v>
                </c:pt>
                <c:pt idx="9">
                  <c:v>44986</c:v>
                </c:pt>
                <c:pt idx="10">
                  <c:v>45017</c:v>
                </c:pt>
                <c:pt idx="11">
                  <c:v>45047</c:v>
                </c:pt>
                <c:pt idx="12">
                  <c:v>45078</c:v>
                </c:pt>
              </c:numCache>
            </c:numRef>
          </c:cat>
          <c:val>
            <c:numRef>
              <c:f>Лист1!$B$2:$B$14</c:f>
              <c:numCache>
                <c:formatCode>0.0</c:formatCode>
                <c:ptCount val="13"/>
                <c:pt idx="0">
                  <c:v>107.7</c:v>
                </c:pt>
                <c:pt idx="1">
                  <c:v>104.3</c:v>
                </c:pt>
                <c:pt idx="2">
                  <c:v>104</c:v>
                </c:pt>
                <c:pt idx="3">
                  <c:v>103.8</c:v>
                </c:pt>
                <c:pt idx="4">
                  <c:v>103.6</c:v>
                </c:pt>
                <c:pt idx="5">
                  <c:v>103.5</c:v>
                </c:pt>
                <c:pt idx="6">
                  <c:v>103.2</c:v>
                </c:pt>
                <c:pt idx="7">
                  <c:v>101.4</c:v>
                </c:pt>
                <c:pt idx="8">
                  <c:v>102</c:v>
                </c:pt>
                <c:pt idx="9">
                  <c:v>102.8</c:v>
                </c:pt>
                <c:pt idx="10">
                  <c:v>103.1</c:v>
                </c:pt>
                <c:pt idx="11">
                  <c:v>103.6</c:v>
                </c:pt>
                <c:pt idx="12">
                  <c:v>103.8</c:v>
                </c:pt>
              </c:numCache>
            </c:numRef>
          </c:val>
          <c:smooth val="0"/>
        </c:ser>
        <c:ser>
          <c:idx val="1"/>
          <c:order val="1"/>
          <c:tx>
            <c:strRef>
              <c:f>Лист1!$C$1</c:f>
              <c:strCache>
                <c:ptCount val="1"/>
                <c:pt idx="0">
                  <c:v>ПФО</c:v>
                </c:pt>
              </c:strCache>
            </c:strRef>
          </c:tx>
          <c:spPr>
            <a:ln>
              <a:solidFill>
                <a:srgbClr val="002060"/>
              </a:solidFill>
            </a:ln>
          </c:spPr>
          <c:marker>
            <c:spPr>
              <a:solidFill>
                <a:srgbClr val="001C54"/>
              </a:solidFill>
              <a:ln>
                <a:solidFill>
                  <a:srgbClr val="002060"/>
                </a:solidFill>
              </a:ln>
            </c:spPr>
          </c:marker>
          <c:dLbls>
            <c:dLbl>
              <c:idx val="0"/>
              <c:layout>
                <c:manualLayout>
                  <c:x val="-4.7602087240411706E-2"/>
                  <c:y val="-0.1017072030589138"/>
                </c:manualLayout>
              </c:layout>
              <c:tx>
                <c:rich>
                  <a:bodyPr/>
                  <a:lstStyle/>
                  <a:p>
                    <a:pPr>
                      <a:defRPr sz="1000" b="1">
                        <a:solidFill>
                          <a:srgbClr val="002060"/>
                        </a:solidFill>
                        <a:latin typeface="Arial" pitchFamily="34" charset="0"/>
                        <a:cs typeface="Arial" pitchFamily="34" charset="0"/>
                      </a:defRPr>
                    </a:pPr>
                    <a:r>
                      <a:rPr lang="ru-RU" sz="1000" b="1" dirty="0" smtClean="0">
                        <a:solidFill>
                          <a:srgbClr val="002060"/>
                        </a:solidFill>
                        <a:latin typeface="Arial" pitchFamily="34" charset="0"/>
                        <a:cs typeface="Arial" pitchFamily="34" charset="0"/>
                      </a:rPr>
                      <a:t>ПФО 105,7</a:t>
                    </a:r>
                    <a:endParaRPr lang="en-US" sz="1000" b="1" dirty="0">
                      <a:solidFill>
                        <a:srgbClr val="002060"/>
                      </a:solidFill>
                    </a:endParaRPr>
                  </a:p>
                </c:rich>
              </c:tx>
              <c:spPr/>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layout>
                <c:manualLayout>
                  <c:x val="-1.4997807368345569E-2"/>
                  <c:y val="0.177969244042435"/>
                </c:manualLayout>
              </c:layout>
              <c:tx>
                <c:rich>
                  <a:bodyPr/>
                  <a:lstStyle/>
                  <a:p>
                    <a:pPr>
                      <a:defRPr sz="1000" b="1">
                        <a:solidFill>
                          <a:srgbClr val="0000CC"/>
                        </a:solidFill>
                        <a:latin typeface="Arial" pitchFamily="34" charset="0"/>
                        <a:cs typeface="Arial" pitchFamily="34" charset="0"/>
                      </a:defRPr>
                    </a:pPr>
                    <a:r>
                      <a:rPr lang="ru-RU" sz="1000" b="1" dirty="0" smtClean="0">
                        <a:latin typeface="Arial" pitchFamily="34" charset="0"/>
                        <a:cs typeface="Arial" pitchFamily="34" charset="0"/>
                      </a:rPr>
                      <a:t>1</a:t>
                    </a:r>
                    <a:r>
                      <a:rPr lang="en-US" sz="1000" b="1" dirty="0" smtClean="0">
                        <a:latin typeface="Arial" pitchFamily="34" charset="0"/>
                        <a:cs typeface="Arial" pitchFamily="34" charset="0"/>
                      </a:rPr>
                      <a:t>04,8</a:t>
                    </a:r>
                    <a:endParaRPr lang="en-US" sz="900" b="1" dirty="0"/>
                  </a:p>
                </c:rich>
              </c:tx>
              <c:spPr/>
              <c:showLegendKey val="0"/>
              <c:showVal val="1"/>
              <c:showCatName val="0"/>
              <c:showSerName val="0"/>
              <c:showPercent val="0"/>
              <c:showBubbleSize val="0"/>
            </c:dLbl>
            <c:txPr>
              <a:bodyPr/>
              <a:lstStyle/>
              <a:p>
                <a:pPr>
                  <a:defRPr sz="1000">
                    <a:solidFill>
                      <a:srgbClr val="0000CC"/>
                    </a:solidFill>
                    <a:latin typeface="Arial" pitchFamily="34" charset="0"/>
                    <a:cs typeface="Arial" pitchFamily="34" charset="0"/>
                  </a:defRPr>
                </a:pPr>
                <a:endParaRPr lang="ru-RU"/>
              </a:p>
            </c:txPr>
            <c:showLegendKey val="0"/>
            <c:showVal val="1"/>
            <c:showCatName val="0"/>
            <c:showSerName val="0"/>
            <c:showPercent val="0"/>
            <c:showBubbleSize val="0"/>
            <c:showLeaderLines val="0"/>
          </c:dLbls>
          <c:cat>
            <c:numRef>
              <c:f>Лист1!$A$2:$A$14</c:f>
              <c:numCache>
                <c:formatCode>mmm\-yy</c:formatCode>
                <c:ptCount val="13"/>
                <c:pt idx="0">
                  <c:v>44713</c:v>
                </c:pt>
                <c:pt idx="1">
                  <c:v>44743</c:v>
                </c:pt>
                <c:pt idx="2">
                  <c:v>44774</c:v>
                </c:pt>
                <c:pt idx="3">
                  <c:v>44805</c:v>
                </c:pt>
                <c:pt idx="4">
                  <c:v>44835</c:v>
                </c:pt>
                <c:pt idx="5">
                  <c:v>44866</c:v>
                </c:pt>
                <c:pt idx="6">
                  <c:v>44896</c:v>
                </c:pt>
                <c:pt idx="7">
                  <c:v>44927</c:v>
                </c:pt>
                <c:pt idx="8">
                  <c:v>44958</c:v>
                </c:pt>
                <c:pt idx="9">
                  <c:v>44986</c:v>
                </c:pt>
                <c:pt idx="10">
                  <c:v>45017</c:v>
                </c:pt>
                <c:pt idx="11">
                  <c:v>45047</c:v>
                </c:pt>
                <c:pt idx="12">
                  <c:v>45078</c:v>
                </c:pt>
              </c:numCache>
            </c:numRef>
          </c:cat>
          <c:val>
            <c:numRef>
              <c:f>Лист1!$C$2:$C$14</c:f>
              <c:numCache>
                <c:formatCode>0.0</c:formatCode>
                <c:ptCount val="13"/>
                <c:pt idx="0">
                  <c:v>105.8</c:v>
                </c:pt>
                <c:pt idx="1">
                  <c:v>104.6</c:v>
                </c:pt>
                <c:pt idx="2">
                  <c:v>104.5</c:v>
                </c:pt>
                <c:pt idx="3">
                  <c:v>104.2</c:v>
                </c:pt>
                <c:pt idx="4">
                  <c:v>103.8</c:v>
                </c:pt>
                <c:pt idx="5">
                  <c:v>103.7</c:v>
                </c:pt>
                <c:pt idx="6">
                  <c:v>103.4</c:v>
                </c:pt>
                <c:pt idx="7">
                  <c:v>103.2</c:v>
                </c:pt>
                <c:pt idx="8">
                  <c:v>103.7</c:v>
                </c:pt>
                <c:pt idx="9">
                  <c:v>103.8</c:v>
                </c:pt>
                <c:pt idx="10">
                  <c:v>103.5</c:v>
                </c:pt>
                <c:pt idx="11">
                  <c:v>103.6</c:v>
                </c:pt>
                <c:pt idx="12">
                  <c:v>103.8</c:v>
                </c:pt>
              </c:numCache>
            </c:numRef>
          </c:val>
          <c:smooth val="0"/>
        </c:ser>
        <c:ser>
          <c:idx val="2"/>
          <c:order val="2"/>
          <c:tx>
            <c:strRef>
              <c:f>Лист1!$D$1</c:f>
              <c:strCache>
                <c:ptCount val="1"/>
                <c:pt idx="0">
                  <c:v>Чувашия</c:v>
                </c:pt>
              </c:strCache>
            </c:strRef>
          </c:tx>
          <c:spPr>
            <a:ln>
              <a:solidFill>
                <a:srgbClr val="C00000"/>
              </a:solidFill>
            </a:ln>
          </c:spPr>
          <c:marker>
            <c:spPr>
              <a:solidFill>
                <a:srgbClr val="FFC000"/>
              </a:solidFill>
              <a:ln>
                <a:solidFill>
                  <a:srgbClr val="C00000"/>
                </a:solidFill>
              </a:ln>
            </c:spPr>
          </c:marker>
          <c:dLbls>
            <c:dLbl>
              <c:idx val="0"/>
              <c:layout>
                <c:manualLayout>
                  <c:x val="-5.4131722421245337E-2"/>
                  <c:y val="0.11922038006891507"/>
                </c:manualLayout>
              </c:layout>
              <c:tx>
                <c:rich>
                  <a:bodyPr/>
                  <a:lstStyle/>
                  <a:p>
                    <a:pPr>
                      <a:defRPr sz="1000" b="1">
                        <a:solidFill>
                          <a:srgbClr val="C00000"/>
                        </a:solidFill>
                        <a:latin typeface="Arial" pitchFamily="34" charset="0"/>
                        <a:cs typeface="Arial" pitchFamily="34" charset="0"/>
                      </a:defRPr>
                    </a:pPr>
                    <a:r>
                      <a:rPr lang="ru-RU" sz="1000" b="1" dirty="0" smtClean="0">
                        <a:latin typeface="Arial" pitchFamily="34" charset="0"/>
                        <a:cs typeface="Arial" pitchFamily="34" charset="0"/>
                      </a:rPr>
                      <a:t> ЧР </a:t>
                    </a:r>
                    <a:r>
                      <a:rPr lang="en-US" sz="1000" b="1" dirty="0" smtClean="0">
                        <a:latin typeface="Arial" pitchFamily="34" charset="0"/>
                        <a:cs typeface="Arial" pitchFamily="34" charset="0"/>
                      </a:rPr>
                      <a:t>1</a:t>
                    </a:r>
                    <a:r>
                      <a:rPr lang="ru-RU" sz="1000" b="1" dirty="0" smtClean="0">
                        <a:latin typeface="Arial" pitchFamily="34" charset="0"/>
                        <a:cs typeface="Arial" pitchFamily="34" charset="0"/>
                      </a:rPr>
                      <a:t>01,5</a:t>
                    </a:r>
                    <a:endParaRPr lang="en-US" sz="900" b="1" dirty="0"/>
                  </a:p>
                </c:rich>
              </c:tx>
              <c:spPr/>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layout>
                <c:manualLayout>
                  <c:x val="-1.5324288842676611E-2"/>
                  <c:y val="0.18380918949273853"/>
                </c:manualLayout>
              </c:layout>
              <c:spPr/>
              <c:txPr>
                <a:bodyPr/>
                <a:lstStyle/>
                <a:p>
                  <a:pPr>
                    <a:defRPr sz="1000" b="1">
                      <a:solidFill>
                        <a:srgbClr val="C00000"/>
                      </a:solidFill>
                      <a:latin typeface="Arial" pitchFamily="34" charset="0"/>
                      <a:cs typeface="Arial" pitchFamily="34" charset="0"/>
                    </a:defRPr>
                  </a:pPr>
                  <a:endParaRPr lang="ru-RU"/>
                </a:p>
              </c:txPr>
              <c:showLegendKey val="0"/>
              <c:showVal val="1"/>
              <c:showCatName val="0"/>
              <c:showSerName val="0"/>
              <c:showPercent val="0"/>
              <c:showBubbleSize val="0"/>
            </c:dLbl>
            <c:txPr>
              <a:bodyPr/>
              <a:lstStyle/>
              <a:p>
                <a:pPr>
                  <a:defRPr sz="1000" b="0">
                    <a:solidFill>
                      <a:srgbClr val="C00000"/>
                    </a:solidFill>
                    <a:latin typeface="Arial" pitchFamily="34" charset="0"/>
                    <a:cs typeface="Arial" pitchFamily="34" charset="0"/>
                  </a:defRPr>
                </a:pPr>
                <a:endParaRPr lang="ru-RU"/>
              </a:p>
            </c:txPr>
            <c:showLegendKey val="0"/>
            <c:showVal val="1"/>
            <c:showCatName val="0"/>
            <c:showSerName val="0"/>
            <c:showPercent val="0"/>
            <c:showBubbleSize val="0"/>
            <c:showLeaderLines val="0"/>
          </c:dLbls>
          <c:cat>
            <c:numRef>
              <c:f>Лист1!$A$2:$A$14</c:f>
              <c:numCache>
                <c:formatCode>mmm\-yy</c:formatCode>
                <c:ptCount val="13"/>
                <c:pt idx="0">
                  <c:v>44713</c:v>
                </c:pt>
                <c:pt idx="1">
                  <c:v>44743</c:v>
                </c:pt>
                <c:pt idx="2">
                  <c:v>44774</c:v>
                </c:pt>
                <c:pt idx="3">
                  <c:v>44805</c:v>
                </c:pt>
                <c:pt idx="4">
                  <c:v>44835</c:v>
                </c:pt>
                <c:pt idx="5">
                  <c:v>44866</c:v>
                </c:pt>
                <c:pt idx="6">
                  <c:v>44896</c:v>
                </c:pt>
                <c:pt idx="7">
                  <c:v>44927</c:v>
                </c:pt>
                <c:pt idx="8">
                  <c:v>44958</c:v>
                </c:pt>
                <c:pt idx="9">
                  <c:v>44986</c:v>
                </c:pt>
                <c:pt idx="10">
                  <c:v>45017</c:v>
                </c:pt>
                <c:pt idx="11">
                  <c:v>45047</c:v>
                </c:pt>
                <c:pt idx="12">
                  <c:v>45078</c:v>
                </c:pt>
              </c:numCache>
            </c:numRef>
          </c:cat>
          <c:val>
            <c:numRef>
              <c:f>Лист1!$D$2:$D$14</c:f>
              <c:numCache>
                <c:formatCode>0.0</c:formatCode>
                <c:ptCount val="13"/>
                <c:pt idx="0">
                  <c:v>101.5</c:v>
                </c:pt>
                <c:pt idx="1">
                  <c:v>100.8</c:v>
                </c:pt>
                <c:pt idx="2">
                  <c:v>100.5</c:v>
                </c:pt>
                <c:pt idx="3">
                  <c:v>100.2</c:v>
                </c:pt>
                <c:pt idx="4">
                  <c:v>99.7</c:v>
                </c:pt>
                <c:pt idx="5">
                  <c:v>99.9</c:v>
                </c:pt>
                <c:pt idx="6">
                  <c:v>99.4</c:v>
                </c:pt>
                <c:pt idx="7">
                  <c:v>99.9</c:v>
                </c:pt>
                <c:pt idx="8">
                  <c:v>103.7</c:v>
                </c:pt>
                <c:pt idx="9">
                  <c:v>103.8</c:v>
                </c:pt>
                <c:pt idx="10">
                  <c:v>103.2</c:v>
                </c:pt>
                <c:pt idx="11">
                  <c:v>102.8</c:v>
                </c:pt>
                <c:pt idx="12">
                  <c:v>102.5</c:v>
                </c:pt>
              </c:numCache>
            </c:numRef>
          </c:val>
          <c:smooth val="0"/>
        </c:ser>
        <c:dLbls>
          <c:showLegendKey val="0"/>
          <c:showVal val="0"/>
          <c:showCatName val="0"/>
          <c:showSerName val="0"/>
          <c:showPercent val="0"/>
          <c:showBubbleSize val="0"/>
        </c:dLbls>
        <c:marker val="1"/>
        <c:smooth val="0"/>
        <c:axId val="147192832"/>
        <c:axId val="179031424"/>
      </c:lineChart>
      <c:dateAx>
        <c:axId val="147192832"/>
        <c:scaling>
          <c:orientation val="minMax"/>
          <c:max val="45078"/>
          <c:min val="44713"/>
        </c:scaling>
        <c:delete val="0"/>
        <c:axPos val="b"/>
        <c:numFmt formatCode="mmm\-yy" sourceLinked="1"/>
        <c:majorTickMark val="out"/>
        <c:minorTickMark val="none"/>
        <c:tickLblPos val="nextTo"/>
        <c:txPr>
          <a:bodyPr rot="-840000" vert="horz"/>
          <a:lstStyle/>
          <a:p>
            <a:pPr>
              <a:defRPr sz="800" baseline="0">
                <a:latin typeface="Arial" panose="020B0604020202020204" pitchFamily="34" charset="0"/>
                <a:cs typeface="Arial" panose="020B0604020202020204" pitchFamily="34" charset="0"/>
              </a:defRPr>
            </a:pPr>
            <a:endParaRPr lang="ru-RU"/>
          </a:p>
        </c:txPr>
        <c:crossAx val="179031424"/>
        <c:crosses val="autoZero"/>
        <c:auto val="1"/>
        <c:lblOffset val="100"/>
        <c:baseTimeUnit val="months"/>
        <c:majorUnit val="1"/>
        <c:majorTimeUnit val="months"/>
        <c:minorUnit val="1"/>
        <c:minorTimeUnit val="months"/>
      </c:dateAx>
      <c:valAx>
        <c:axId val="179031424"/>
        <c:scaling>
          <c:orientation val="minMax"/>
          <c:max val="120"/>
          <c:min val="90"/>
        </c:scaling>
        <c:delete val="0"/>
        <c:axPos val="l"/>
        <c:majorGridlines>
          <c:spPr>
            <a:ln>
              <a:noFill/>
            </a:ln>
          </c:spPr>
        </c:majorGridlines>
        <c:numFmt formatCode="0.0" sourceLinked="1"/>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ru-RU"/>
          </a:p>
        </c:txPr>
        <c:crossAx val="147192832"/>
        <c:crosses val="autoZero"/>
        <c:crossBetween val="between"/>
        <c:majorUnit val="10"/>
      </c:valAx>
    </c:plotArea>
    <c:legend>
      <c:legendPos val="r"/>
      <c:legendEntry>
        <c:idx val="0"/>
        <c:txPr>
          <a:bodyPr/>
          <a:lstStyle/>
          <a:p>
            <a:pPr>
              <a:defRPr sz="1200" b="1">
                <a:solidFill>
                  <a:schemeClr val="tx1">
                    <a:lumMod val="65000"/>
                    <a:lumOff val="35000"/>
                  </a:schemeClr>
                </a:solidFill>
                <a:latin typeface="Arial" panose="020B0604020202020204" pitchFamily="34" charset="0"/>
                <a:cs typeface="Arial" panose="020B0604020202020204" pitchFamily="34" charset="0"/>
              </a:defRPr>
            </a:pPr>
            <a:endParaRPr lang="ru-RU"/>
          </a:p>
        </c:txPr>
      </c:legendEntry>
      <c:layout>
        <c:manualLayout>
          <c:xMode val="edge"/>
          <c:yMode val="edge"/>
          <c:x val="0.22396506723492293"/>
          <c:y val="0.88639751883129791"/>
          <c:w val="0.4992619354554475"/>
          <c:h val="0.11360262571298224"/>
        </c:manualLayout>
      </c:layout>
      <c:overlay val="0"/>
      <c:txPr>
        <a:bodyPr/>
        <a:lstStyle/>
        <a:p>
          <a:pPr>
            <a:defRPr sz="1200" b="1">
              <a:latin typeface="Arial" panose="020B0604020202020204" pitchFamily="34" charset="0"/>
              <a:cs typeface="Arial" panose="020B0604020202020204" pitchFamily="34" charset="0"/>
            </a:defRPr>
          </a:pPr>
          <a:endParaRPr lang="ru-RU"/>
        </a:p>
      </c:txPr>
    </c:legend>
    <c:plotVisOnly val="1"/>
    <c:dispBlanksAs val="zero"/>
    <c:showDLblsOverMax val="0"/>
  </c:chart>
  <c:spPr>
    <a:ln>
      <a:noFill/>
    </a:ln>
  </c:spPr>
  <c:txPr>
    <a:bodyPr/>
    <a:lstStyle/>
    <a:p>
      <a:pPr>
        <a:defRPr sz="1800"/>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0.86843</cdr:x>
      <cdr:y>0.72858</cdr:y>
    </cdr:from>
    <cdr:to>
      <cdr:x>0.94915</cdr:x>
      <cdr:y>0.89702</cdr:y>
    </cdr:to>
    <cdr:sp macro="" textlink="">
      <cdr:nvSpPr>
        <cdr:cNvPr id="2" name="TextBox 10"/>
        <cdr:cNvSpPr txBox="1"/>
      </cdr:nvSpPr>
      <cdr:spPr>
        <a:xfrm xmlns:a="http://schemas.openxmlformats.org/drawingml/2006/main" rot="4397540">
          <a:off x="5246718" y="1220407"/>
          <a:ext cx="302583" cy="479427"/>
        </a:xfrm>
        <a:prstGeom xmlns:a="http://schemas.openxmlformats.org/drawingml/2006/main" prst="rect">
          <a:avLst/>
        </a:prstGeom>
        <a:noFill xmlns:a="http://schemas.openxmlformats.org/drawingml/2006/main"/>
      </cdr:spPr>
      <cdr:txBody>
        <a:bodyPr xmlns:a="http://schemas.openxmlformats.org/drawingml/2006/main" vert="vert270" wrap="none" rtlCol="0">
          <a:spAutoFit/>
        </a:bodyPr>
        <a:lstStyle xmlns:a="http://schemas.openxmlformats.org/drawingml/2006/main">
          <a:defPPr>
            <a:defRPr lang="ru-RU"/>
          </a:defPPr>
          <a:lvl1pPr marL="0" algn="l" defTabSz="914265" rtl="0" eaLnBrk="1" latinLnBrk="0" hangingPunct="1">
            <a:defRPr sz="1800" kern="1200">
              <a:solidFill>
                <a:schemeClr val="tx1"/>
              </a:solidFill>
              <a:latin typeface="+mn-lt"/>
              <a:ea typeface="+mn-ea"/>
              <a:cs typeface="+mn-cs"/>
            </a:defRPr>
          </a:lvl1pPr>
          <a:lvl2pPr marL="457130" algn="l" defTabSz="914265" rtl="0" eaLnBrk="1" latinLnBrk="0" hangingPunct="1">
            <a:defRPr sz="1800" kern="1200">
              <a:solidFill>
                <a:schemeClr val="tx1"/>
              </a:solidFill>
              <a:latin typeface="+mn-lt"/>
              <a:ea typeface="+mn-ea"/>
              <a:cs typeface="+mn-cs"/>
            </a:defRPr>
          </a:lvl2pPr>
          <a:lvl3pPr marL="914265" algn="l" defTabSz="914265" rtl="0" eaLnBrk="1" latinLnBrk="0" hangingPunct="1">
            <a:defRPr sz="1800" kern="1200">
              <a:solidFill>
                <a:schemeClr val="tx1"/>
              </a:solidFill>
              <a:latin typeface="+mn-lt"/>
              <a:ea typeface="+mn-ea"/>
              <a:cs typeface="+mn-cs"/>
            </a:defRPr>
          </a:lvl3pPr>
          <a:lvl4pPr marL="1371396" algn="l" defTabSz="914265" rtl="0" eaLnBrk="1" latinLnBrk="0" hangingPunct="1">
            <a:defRPr sz="1800" kern="1200">
              <a:solidFill>
                <a:schemeClr val="tx1"/>
              </a:solidFill>
              <a:latin typeface="+mn-lt"/>
              <a:ea typeface="+mn-ea"/>
              <a:cs typeface="+mn-cs"/>
            </a:defRPr>
          </a:lvl4pPr>
          <a:lvl5pPr marL="1828529" algn="l" defTabSz="914265" rtl="0" eaLnBrk="1" latinLnBrk="0" hangingPunct="1">
            <a:defRPr sz="1800" kern="1200">
              <a:solidFill>
                <a:schemeClr val="tx1"/>
              </a:solidFill>
              <a:latin typeface="+mn-lt"/>
              <a:ea typeface="+mn-ea"/>
              <a:cs typeface="+mn-cs"/>
            </a:defRPr>
          </a:lvl5pPr>
          <a:lvl6pPr marL="2285658" algn="l" defTabSz="914265" rtl="0" eaLnBrk="1" latinLnBrk="0" hangingPunct="1">
            <a:defRPr sz="1800" kern="1200">
              <a:solidFill>
                <a:schemeClr val="tx1"/>
              </a:solidFill>
              <a:latin typeface="+mn-lt"/>
              <a:ea typeface="+mn-ea"/>
              <a:cs typeface="+mn-cs"/>
            </a:defRPr>
          </a:lvl6pPr>
          <a:lvl7pPr marL="2742788" algn="l" defTabSz="914265" rtl="0" eaLnBrk="1" latinLnBrk="0" hangingPunct="1">
            <a:defRPr sz="1800" kern="1200">
              <a:solidFill>
                <a:schemeClr val="tx1"/>
              </a:solidFill>
              <a:latin typeface="+mn-lt"/>
              <a:ea typeface="+mn-ea"/>
              <a:cs typeface="+mn-cs"/>
            </a:defRPr>
          </a:lvl7pPr>
          <a:lvl8pPr marL="3199920" algn="l" defTabSz="914265" rtl="0" eaLnBrk="1" latinLnBrk="0" hangingPunct="1">
            <a:defRPr sz="1800" kern="1200">
              <a:solidFill>
                <a:schemeClr val="tx1"/>
              </a:solidFill>
              <a:latin typeface="+mn-lt"/>
              <a:ea typeface="+mn-ea"/>
              <a:cs typeface="+mn-cs"/>
            </a:defRPr>
          </a:lvl8pPr>
          <a:lvl9pPr marL="3657052" algn="l" defTabSz="914265" rtl="0" eaLnBrk="1" latinLnBrk="0" hangingPunct="1">
            <a:defRPr sz="1800" kern="1200">
              <a:solidFill>
                <a:schemeClr val="tx1"/>
              </a:solidFill>
              <a:latin typeface="+mn-lt"/>
              <a:ea typeface="+mn-ea"/>
              <a:cs typeface="+mn-cs"/>
            </a:defRPr>
          </a:lvl9pPr>
        </a:lstStyle>
        <a:p xmlns:a="http://schemas.openxmlformats.org/drawingml/2006/main">
          <a:r>
            <a:rPr lang="ru-RU" sz="800" dirty="0">
              <a:latin typeface="Arial" pitchFamily="34" charset="0"/>
              <a:cs typeface="Arial" pitchFamily="34" charset="0"/>
            </a:rPr>
            <a:t>июнь 23</a:t>
          </a:r>
        </a:p>
      </cdr:txBody>
    </cdr:sp>
  </cdr:relSizeAnchor>
</c:userShapes>
</file>

<file path=word/drawings/drawing2.xml><?xml version="1.0" encoding="utf-8"?>
<c:userShapes xmlns:c="http://schemas.openxmlformats.org/drawingml/2006/chart">
  <cdr:relSizeAnchor xmlns:cdr="http://schemas.openxmlformats.org/drawingml/2006/chartDrawing">
    <cdr:from>
      <cdr:x>0.85829</cdr:x>
      <cdr:y>0.14151</cdr:y>
    </cdr:from>
    <cdr:to>
      <cdr:x>1</cdr:x>
      <cdr:y>0.25128</cdr:y>
    </cdr:to>
    <cdr:sp macro="" textlink="">
      <cdr:nvSpPr>
        <cdr:cNvPr id="4" name="Поле 3"/>
        <cdr:cNvSpPr txBox="1"/>
      </cdr:nvSpPr>
      <cdr:spPr>
        <a:xfrm xmlns:a="http://schemas.openxmlformats.org/drawingml/2006/main">
          <a:off x="5174424" y="252768"/>
          <a:ext cx="854236" cy="1960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chemeClr val="tx1">
                  <a:lumMod val="75000"/>
                  <a:lumOff val="25000"/>
                </a:schemeClr>
              </a:solidFill>
              <a:latin typeface="Arial" pitchFamily="34" charset="0"/>
              <a:cs typeface="Arial" pitchFamily="34" charset="0"/>
            </a:rPr>
            <a:t>РФ 103,8</a:t>
          </a:r>
        </a:p>
      </cdr:txBody>
    </cdr:sp>
  </cdr:relSizeAnchor>
  <cdr:relSizeAnchor xmlns:cdr="http://schemas.openxmlformats.org/drawingml/2006/chartDrawing">
    <cdr:from>
      <cdr:x>0.57888</cdr:x>
      <cdr:y>0.42378</cdr:y>
    </cdr:from>
    <cdr:to>
      <cdr:x>0.70102</cdr:x>
      <cdr:y>0.53659</cdr:y>
    </cdr:to>
    <cdr:sp macro="" textlink="">
      <cdr:nvSpPr>
        <cdr:cNvPr id="5" name="Поле 4"/>
        <cdr:cNvSpPr txBox="1"/>
      </cdr:nvSpPr>
      <cdr:spPr>
        <a:xfrm xmlns:a="http://schemas.openxmlformats.org/drawingml/2006/main">
          <a:off x="2889250" y="882650"/>
          <a:ext cx="609600" cy="2349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0.85918</cdr:x>
      <cdr:y>0.26392</cdr:y>
    </cdr:from>
    <cdr:to>
      <cdr:x>0.99995</cdr:x>
      <cdr:y>0.39315</cdr:y>
    </cdr:to>
    <cdr:sp macro="" textlink="">
      <cdr:nvSpPr>
        <cdr:cNvPr id="6" name="Поле 5"/>
        <cdr:cNvSpPr txBox="1"/>
      </cdr:nvSpPr>
      <cdr:spPr>
        <a:xfrm xmlns:a="http://schemas.openxmlformats.org/drawingml/2006/main">
          <a:off x="5179161" y="471426"/>
          <a:ext cx="848563" cy="2308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rgbClr val="002060"/>
              </a:solidFill>
              <a:latin typeface="Arial" pitchFamily="34" charset="0"/>
              <a:cs typeface="Arial" pitchFamily="34" charset="0"/>
            </a:rPr>
            <a:t>ПФО 103,8</a:t>
          </a:r>
        </a:p>
      </cdr:txBody>
    </cdr:sp>
  </cdr:relSizeAnchor>
  <cdr:relSizeAnchor xmlns:cdr="http://schemas.openxmlformats.org/drawingml/2006/chartDrawing">
    <cdr:from>
      <cdr:x>0.59669</cdr:x>
      <cdr:y>0.49695</cdr:y>
    </cdr:from>
    <cdr:to>
      <cdr:x>0.6972</cdr:x>
      <cdr:y>0.59756</cdr:y>
    </cdr:to>
    <cdr:sp macro="" textlink="">
      <cdr:nvSpPr>
        <cdr:cNvPr id="7" name="Поле 6"/>
        <cdr:cNvSpPr txBox="1"/>
      </cdr:nvSpPr>
      <cdr:spPr>
        <a:xfrm xmlns:a="http://schemas.openxmlformats.org/drawingml/2006/main">
          <a:off x="2978150" y="1035050"/>
          <a:ext cx="501650"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0.85179</cdr:x>
      <cdr:y>0.51116</cdr:y>
    </cdr:from>
    <cdr:to>
      <cdr:x>0.99995</cdr:x>
      <cdr:y>0.61962</cdr:y>
    </cdr:to>
    <cdr:sp macro="" textlink="">
      <cdr:nvSpPr>
        <cdr:cNvPr id="8" name="Поле 7"/>
        <cdr:cNvSpPr txBox="1"/>
      </cdr:nvSpPr>
      <cdr:spPr>
        <a:xfrm xmlns:a="http://schemas.openxmlformats.org/drawingml/2006/main">
          <a:off x="5134608" y="913068"/>
          <a:ext cx="893117" cy="1937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rgbClr val="C00000"/>
              </a:solidFill>
              <a:latin typeface="Arial" pitchFamily="34" charset="0"/>
              <a:cs typeface="Arial" pitchFamily="34" charset="0"/>
            </a:rPr>
            <a:t>ЧР 102,5</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Другая 2">
    <a:dk1>
      <a:srgbClr val="171616"/>
    </a:dk1>
    <a:lt1>
      <a:srgbClr val="FFFFFF"/>
    </a:lt1>
    <a:dk2>
      <a:srgbClr val="FFFFFF"/>
    </a:dk2>
    <a:lt2>
      <a:srgbClr val="E7E6E6"/>
    </a:lt2>
    <a:accent1>
      <a:srgbClr val="001E82"/>
    </a:accent1>
    <a:accent2>
      <a:srgbClr val="8EAADB"/>
    </a:accent2>
    <a:accent3>
      <a:srgbClr val="2F5496"/>
    </a:accent3>
    <a:accent4>
      <a:srgbClr val="44546A"/>
    </a:accent4>
    <a:accent5>
      <a:srgbClr val="44546A"/>
    </a:accent5>
    <a:accent6>
      <a:srgbClr val="001E82"/>
    </a:accent6>
    <a:hlink>
      <a:srgbClr val="0563C1"/>
    </a:hlink>
    <a:folHlink>
      <a:srgbClr val="954F72"/>
    </a:folHlink>
  </a:clrScheme>
  <a:fontScheme name="Основная">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6396F-C8D9-4E20-B6D2-85C691772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1410</Words>
  <Characters>8043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CAP</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Администратор</dc:creator>
  <cp:lastModifiedBy>economy68 (Чернова Е.Н.)</cp:lastModifiedBy>
  <cp:revision>37</cp:revision>
  <cp:lastPrinted>2021-11-19T12:37:00Z</cp:lastPrinted>
  <dcterms:created xsi:type="dcterms:W3CDTF">2023-05-10T13:45:00Z</dcterms:created>
  <dcterms:modified xsi:type="dcterms:W3CDTF">2023-08-09T09:10:00Z</dcterms:modified>
</cp:coreProperties>
</file>