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left="5400" w:right="-23" w:firstLine="0"/>
        <w:jc w:val="right"/>
        <w:widowControl/>
        <w:tabs>
          <w:tab w:val="left" w:pos="1020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Приложение № 1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2"/>
        <w:ind w:left="4860" w:right="-23"/>
        <w:jc w:val="right"/>
        <w:spacing w:line="216" w:lineRule="auto"/>
        <w:tabs>
          <w:tab w:val="left" w:pos="936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 конкурсной документации по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проведению открытого конкурса на право получени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свидетельств об осуществлении перевозок по одному или нескольким межмуниципальным 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аршрутам регулярных перевозок в</w:t>
        <w:br w:type="textWrapping" w:clear="all"/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Республике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902"/>
        <w:ind w:right="540"/>
        <w:jc w:val="right"/>
        <w:spacing w:line="360" w:lineRule="auto"/>
        <w:rPr>
          <w:rFonts w:ascii="PT Astra Serif" w:hAnsi="PT Astra Serif" w:cs="PT Astra Serif"/>
          <w:bCs/>
          <w:sz w:val="26"/>
          <w:szCs w:val="26"/>
          <w:u w:val="single"/>
        </w:rPr>
      </w:pPr>
      <w:r>
        <w:rPr>
          <w:rFonts w:ascii="PT Astra Serif" w:hAnsi="PT Astra Serif" w:eastAsia="PT Astra Serif" w:cs="PT Astra Serif"/>
          <w:bCs/>
          <w:sz w:val="26"/>
          <w:szCs w:val="26"/>
          <w:u w:val="single"/>
        </w:rPr>
      </w:r>
      <w:r>
        <w:rPr>
          <w:rFonts w:ascii="PT Astra Serif" w:hAnsi="PT Astra Serif" w:eastAsia="PT Astra Serif" w:cs="PT Astra Serif"/>
          <w:bCs/>
          <w:sz w:val="26"/>
          <w:szCs w:val="26"/>
          <w:u w:val="single"/>
        </w:rPr>
      </w:r>
      <w:r>
        <w:rPr>
          <w:rFonts w:ascii="PT Astra Serif" w:hAnsi="PT Astra Serif" w:cs="PT Astra Serif"/>
          <w:bCs/>
          <w:sz w:val="26"/>
          <w:szCs w:val="26"/>
          <w:u w:val="single"/>
        </w:rPr>
      </w:r>
    </w:p>
    <w:p>
      <w:pPr>
        <w:pStyle w:val="921"/>
        <w:ind w:left="5664" w:right="540" w:firstLine="636"/>
        <w:jc w:val="right"/>
        <w:tabs>
          <w:tab w:val="left" w:pos="9360" w:leader="none"/>
        </w:tabs>
        <w:rPr>
          <w:rFonts w:ascii="PT Astra Serif" w:hAnsi="PT Astra Serif" w:cs="PT Astra Serif"/>
          <w:sz w:val="26"/>
          <w:szCs w:val="26"/>
          <w:u w:val="single"/>
        </w:rPr>
      </w:pPr>
      <w:r>
        <w:rPr>
          <w:rFonts w:ascii="PT Astra Serif" w:hAnsi="PT Astra Serif" w:eastAsia="PT Astra Serif" w:cs="PT Astra Serif"/>
          <w:sz w:val="26"/>
          <w:szCs w:val="26"/>
          <w:u w:val="single"/>
        </w:rPr>
      </w:r>
      <w:r>
        <w:rPr>
          <w:rFonts w:ascii="PT Astra Serif" w:hAnsi="PT Astra Serif" w:eastAsia="PT Astra Serif" w:cs="PT Astra Serif"/>
          <w:sz w:val="26"/>
          <w:szCs w:val="26"/>
          <w:u w:val="single"/>
        </w:rPr>
      </w:r>
      <w:r>
        <w:rPr>
          <w:rFonts w:ascii="PT Astra Serif" w:hAnsi="PT Astra Serif" w:cs="PT Astra Serif"/>
          <w:sz w:val="26"/>
          <w:szCs w:val="26"/>
          <w:u w:val="single"/>
        </w:rPr>
      </w:r>
    </w:p>
    <w:p>
      <w:pPr>
        <w:pStyle w:val="902"/>
        <w:ind w:right="267"/>
        <w:jc w:val="right"/>
        <w:rPr>
          <w:rFonts w:ascii="PT Astra Serif" w:hAnsi="PT Astra Serif" w:cs="PT Astra Serif"/>
          <w:sz w:val="26"/>
          <w:szCs w:val="26"/>
          <w:u w:val="single"/>
        </w:rPr>
      </w:pPr>
      <w:r>
        <w:rPr>
          <w:rFonts w:ascii="PT Astra Serif" w:hAnsi="PT Astra Serif" w:eastAsia="PT Astra Serif" w:cs="PT Astra Serif"/>
          <w:sz w:val="26"/>
          <w:szCs w:val="26"/>
          <w:u w:val="single"/>
        </w:rPr>
      </w:r>
      <w:r>
        <w:rPr>
          <w:rFonts w:ascii="PT Astra Serif" w:hAnsi="PT Astra Serif" w:eastAsia="PT Astra Serif" w:cs="PT Astra Serif"/>
          <w:sz w:val="26"/>
          <w:szCs w:val="26"/>
          <w:u w:val="single"/>
        </w:rPr>
      </w:r>
      <w:r>
        <w:rPr>
          <w:rFonts w:ascii="PT Astra Serif" w:hAnsi="PT Astra Serif" w:cs="PT Astra Serif"/>
          <w:sz w:val="26"/>
          <w:szCs w:val="26"/>
          <w:u w:val="single"/>
        </w:rPr>
      </w:r>
    </w:p>
    <w:p>
      <w:pPr>
        <w:pStyle w:val="902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ИНФОРМАЦИОННАЯ  КАРТА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ОТКРЫТОГО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КОНКУРСА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902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10718" w:type="dxa"/>
        <w:tblInd w:w="-2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6"/>
        <w:gridCol w:w="1912"/>
        <w:gridCol w:w="2127"/>
        <w:gridCol w:w="59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п/п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Ссылка на пункт раздела общих условий проведения открытого конкурса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Наименование пункта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Текст пояснений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Наименование Организатора, контактная информация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Министерство транспорта и дорожного хозяйства Чувашской Республики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г. Чебоксары, площадь Республики, д. 2,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56-50-8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, 56-50-8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e-mail: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mintrans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@cap.ru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редмет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открытого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конкурса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Предмет открытого конкурса - право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 получение свидетельств об осуществлении перевозок по одному или нескольким межмуниципальным маршрутам регулярных перевозок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в Чувашской Республике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Участники открытого конкурса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 участию в открытом конкурсе допускаются юридические лица, индивидуальные предприниматели, участники договора простого товарищества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соответствующие требованиям, указанным в статье 23 Федерального закона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(далее – Федеральный закон)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3.2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Требования к участникам открытого конкурса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31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Участник должен отвечать следующим требованиям: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54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54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2) принятие на себя обязательства в случае предоставления участнику открытого конкурса права на получение свидетельства об осущ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54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3) не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54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54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5) наличие договора простого товарищества в письменной форме (для участников договора простого товарищества);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54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Требования, предусмотренные пунктами 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, 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и 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применяются в отношении каждого участника договора простого товарищества.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Одним из 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слови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для отклонения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Заявки на участие в открытом конкурсе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является несоответствие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заявителя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вышеуказанным требованиям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Форма заявки на участие в конкурсе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сайте «Народный контроль» в информационно-телекоммуникационной сети «Интер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нет» в разделе «Перевозки» (</w:t>
            </w:r>
            <w:hyperlink r:id="rId13" w:tooltip="https://nk.cap.ru/transportation/fork" w:history="1">
              <w:r>
                <w:rPr>
                  <w:rFonts w:ascii="PT Astra Serif" w:hAnsi="PT Astra Serif" w:eastAsia="PT Astra Serif" w:cs="PT Astra Serif"/>
                  <w:sz w:val="26"/>
                  <w:szCs w:val="26"/>
                  <w:lang w:eastAsia="ru-RU"/>
                </w:rPr>
                <w:t xml:space="preserve">https://nk.cap.ru/transportation/fork</w:t>
              </w:r>
            </w:hyperlink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). В связи с технической неисправностью регистрация на сайте «Народный контроль» по вкладке вверху страницы сайта недоступна. Регистрация на сайте «Народный контроль» осуществляется по вкладке «Войти» внизу страницы сайта. Для входа необходимо указать логи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н: nk_trans и пароль: Trans-21.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</w:p>
          <w:p>
            <w:pPr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</w:p>
          <w:p>
            <w:pPr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Дата и время поступления заявки определяется согласно сведениям электронной регистрации даты и времени подачи заявок.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</w:p>
          <w:p>
            <w:pPr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Заявитель подает заявку на участие в открытом конкурсе в письменной форме в запечатанном конверте по форме, установленной настоящей конкурсной документацией (Приложение № 2 к конкурсной документации). Заявка с прилагаемыми к ней документами подается в запе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чатанном конверте с пометкой «Заявка на открытый конкурс», с указанием на конверте наименования Заявителя, места нахождения (жительства) Заявителя и номера лота. В случае если Заявитель предполагает принять участие в открытом конкурсе по нескольким лотам,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он представляет отдельные Заявки по каждому лоту. Заявитель вправе подать только одну заявку в отношении одного лота. В случае установления факта подачи одним заявителем двух и (или) более заявок в отношении одного лота при условии, что поданные ранее этим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 заявителем заявки в отношении данного лота не отозваны, все заявки этого заявителя в отношении данного лота конкурсной комиссией не рассматриваются. Заявка должна быть подписана Заявителем, скреплена его подписью и печатью (при наличии) либо только подпис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ью, в случае представления документов индивидуальным предпринимателем или участником договора простого товарищества. Заявка и прилагаемые к ней документы вместе с описью должны быть пронумерованы, прошиты и скреплены подписью и печатью (при наличии) юридич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  <w:t xml:space="preserve">еского лица либо только подписью, в случае представления Заявки индивидуальным предпринимателем или участником договора простого товарищества.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pStyle w:val="902"/>
              <w:jc w:val="both"/>
              <w:tabs>
                <w:tab w:val="left" w:pos="437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.1.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Требования к содержанию заявки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Заявка на участие в открытом конкурсе должна содержать следующие документы: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опия договора простого товарищества,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документ, подтверждающий полномочия лица на осуществление действий от имени участник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договора простого товарищества (для участник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договора простого товарищества);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ведения о количестве дорожно-транспортных происшествий, повлекших за собой человеческие жертвы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или причинение вреда здоровью граждан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и произошедших по вине юридического лица, индивидуального предпринимателя, участник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договора простого товарищества или их работников в течение года, предшествующего дате размещения извещения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ведения о среднем количестве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(Приложение № 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 конкурсной документации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);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правка об опыте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осуществления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регулярных перевозок юридическим лицом, индивидуальным предпринимателем или участниками договора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простого товарищества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(Приложение № 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 конкурсной документации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).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правка о транспортных средствах, которые будут использоваться для регулярных перевозок пассажиров и багажа автомобильным транспортом по межмуниципальному маршруту регулярных перевозок (Приложение № 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 конкурсной документации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ринятие на себя обязательства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в случае предоставления участнику открытого конкурса права на получение свидетельства об осуществлении перевозок по маршруту регулярных перевозок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подтвердить в течение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60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календарных дней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представить на проверку заверенные подписью и печатью (при наличии) документы, подтверждающие наличие заявленных для участия в конкурсе транспортных средств  в собственности или на ином законном основании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 в течение 2 рабочих дней со дня представления документов предъявить на осмотр транспортные средства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предусмотренны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его заявкой на участие в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открытом конкурсе (Приложение № 7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 конкурсной документации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7.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нформация о непроведении ликвидации участника конкурса - юридического лица и отсутствии решения арбитражного суда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признании банкротом участника конкурса - юридического лица или индивидуального предпринимателя и об открытии конкурсного производства, составленная в произвольной форме (также предоставляется в отношении каждого участника договора простого товарищества);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окумент, подтверждающий полномочия лица на осуществление действий от имени участника открытого конкурса (заявителя)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оформленный надлежащим образом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в случае подачи заявки доверенным лицом заявителя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огласие на обработку персональных данных (для индивидуальных предпринимателей, участников простого товарищества), составленное в произвольной форме.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пись представленных документов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Юридическое лицо, индивидуальный предприниматель, участник договора простого товарищества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вправе по собственной инициативе представить в уполномоченный орган: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1) выписку из Единого государственного реестра юридических лиц, выданную не ранее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чем за один месяц до даты подачи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заявки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(для юридических лиц);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2) выписку из Единого государственного реестра индивидуальных предпринимателей, выданную не ранее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чем за один месяц до даты подачи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заявки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(для индивидуальных предпринимателей);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317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справк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налогового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ргана об отсутствии задолженности по налогам, сборам и иным обязательным платежам в бюджеты бюджетной системы Российской Федерации за последний завершенный отчетный период (также предоставляется в отношении каждого участника договора простого товарищества)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ind w:firstLine="54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4) копию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лицензии на осуществление перевозки пассажиров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 иных лиц автобусами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(также предоставляется в отношении каждого участника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договора простого товарищества)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/>
        <w:trPr>
          <w:trHeight w:val="1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7.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2.5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Срок подачи заявок на участие в конкурсе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Заявки на участие в открытом конкурсе представляются в рабочие дни с 9 ч 00 мин до 12 ч 00 мин и с 13 ч 00 мин до 16 ч 00 мин, с 29 мая по 18 июня 2024 года.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Место подачи заявок на участие в конкурсе (адрес)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Заявки подаются в соответствии с требованиями конкурсной документации по адресу: 428004,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                   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г. Чебоксары, площадь Республики, д. 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телефоны сотрудников, ответственных за прием заявок, тел. 56-50-8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56-50-83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2.7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Дата, время и место вскрытия конвертов с заявками на участие в конкурсе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0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Дата и место рассмотрения заявок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0" w:lineRule="atLeast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6"/>
                <w:szCs w:val="26"/>
              </w:rPr>
              <w:t xml:space="preserve">Вскрытие конвертов с заявками на участие в конкурсе будет происходить 19 июня2024 г. в 10 ч 00 мин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 (по московскому времени) по адресу: 428004,</w:t>
              <w:br/>
              <w:t xml:space="preserve">  г. Чебоксары, пл. Республики, д. 2, каб. 311.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ind w:left="0" w:right="0" w:firstLine="34"/>
              <w:jc w:val="both"/>
              <w:spacing w:line="280" w:lineRule="atLeast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6"/>
                <w:szCs w:val="26"/>
              </w:rPr>
              <w:t xml:space="preserve">Рассмотрение заявок и подведение итогов открытого конкурса осуществляется конкурсной комиссией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6"/>
                <w:szCs w:val="26"/>
              </w:rPr>
              <w:t xml:space="preserve">1июля2024 г.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 Министерстве транспорта и дорожного хозяйства Чувашской Республики по адресу: г. Чебоксары, площадь Республики, д. 2, каб. 311.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938"/>
              <w:ind w:firstLine="3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</w:tbl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748" w:bottom="1134" w:left="1259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SimSun">
    <w:panose1 w:val="02000506000000020000"/>
  </w:font>
  <w:font w:name="Mangal">
    <w:panose1 w:val="02040503050306020203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28"/>
                          </w:pPr>
                          <w:r>
                            <w:rPr>
                              <w:rStyle w:val="919"/>
                            </w:rPr>
                            <w:fldChar w:fldCharType="begin"/>
                          </w:r>
                          <w:r>
                            <w:rPr>
                              <w:rStyle w:val="919"/>
                            </w:rPr>
                            <w:instrText xml:space="preserve"> PAGE </w:instrText>
                          </w:r>
                          <w:r>
                            <w:rPr>
                              <w:rStyle w:val="919"/>
                            </w:rPr>
                            <w:fldChar w:fldCharType="separate"/>
                          </w:r>
                          <w:r>
                            <w:rPr>
                              <w:rStyle w:val="919"/>
                            </w:rPr>
                            <w:t xml:space="preserve">3</w:t>
                          </w:r>
                          <w:r>
                            <w:rPr>
                              <w:rStyle w:val="919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902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05pt;mso-position-vertical:absolute;width:11.95pt;height:13.7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28"/>
                    </w:pPr>
                    <w:r>
                      <w:rPr>
                        <w:rStyle w:val="919"/>
                      </w:rPr>
                      <w:fldChar w:fldCharType="begin"/>
                    </w:r>
                    <w:r>
                      <w:rPr>
                        <w:rStyle w:val="919"/>
                      </w:rPr>
                      <w:instrText xml:space="preserve"> PAGE </w:instrText>
                    </w:r>
                    <w:r>
                      <w:rPr>
                        <w:rStyle w:val="919"/>
                      </w:rPr>
                      <w:fldChar w:fldCharType="separate"/>
                    </w:r>
                    <w:r>
                      <w:rPr>
                        <w:rStyle w:val="919"/>
                      </w:rPr>
                      <w:t xml:space="preserve">3</w:t>
                    </w:r>
                    <w:r>
                      <w:rPr>
                        <w:rStyle w:val="919"/>
                      </w:rPr>
                      <w:fldChar w:fldCharType="end"/>
                    </w:r>
                    <w:r/>
                  </w:p>
                  <w:p>
                    <w:pPr>
                      <w:pStyle w:val="90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0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sz w:val="24"/>
      <w:szCs w:val="24"/>
      <w:lang w:val="ru-RU" w:eastAsia="zh-CN" w:bidi="ar-SA"/>
    </w:rPr>
  </w:style>
  <w:style w:type="paragraph" w:styleId="903">
    <w:name w:val="Заголовок 1"/>
    <w:basedOn w:val="902"/>
    <w:next w:val="902"/>
    <w:link w:val="902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904">
    <w:name w:val="Основной шрифт абзаца"/>
    <w:next w:val="904"/>
    <w:link w:val="902"/>
    <w:uiPriority w:val="1"/>
    <w:unhideWhenUsed/>
  </w:style>
  <w:style w:type="table" w:styleId="905">
    <w:name w:val="Обычная таблица"/>
    <w:next w:val="905"/>
    <w:link w:val="902"/>
    <w:uiPriority w:val="99"/>
    <w:semiHidden/>
    <w:unhideWhenUsed/>
    <w:tblPr/>
  </w:style>
  <w:style w:type="numbering" w:styleId="906">
    <w:name w:val="Нет списка"/>
    <w:next w:val="906"/>
    <w:link w:val="902"/>
    <w:uiPriority w:val="99"/>
    <w:semiHidden/>
    <w:unhideWhenUsed/>
  </w:style>
  <w:style w:type="character" w:styleId="907">
    <w:name w:val="WW8Num1z0"/>
    <w:next w:val="907"/>
    <w:link w:val="902"/>
  </w:style>
  <w:style w:type="character" w:styleId="908">
    <w:name w:val="WW8Num1z1"/>
    <w:next w:val="908"/>
    <w:link w:val="902"/>
  </w:style>
  <w:style w:type="character" w:styleId="909">
    <w:name w:val="WW8Num1z2"/>
    <w:next w:val="909"/>
    <w:link w:val="902"/>
  </w:style>
  <w:style w:type="character" w:styleId="910">
    <w:name w:val="WW8Num1z3"/>
    <w:next w:val="910"/>
    <w:link w:val="902"/>
  </w:style>
  <w:style w:type="character" w:styleId="911">
    <w:name w:val="WW8Num1z4"/>
    <w:next w:val="911"/>
    <w:link w:val="902"/>
  </w:style>
  <w:style w:type="character" w:styleId="912">
    <w:name w:val="WW8Num1z5"/>
    <w:next w:val="912"/>
    <w:link w:val="902"/>
  </w:style>
  <w:style w:type="character" w:styleId="913">
    <w:name w:val="WW8Num1z6"/>
    <w:next w:val="913"/>
    <w:link w:val="902"/>
  </w:style>
  <w:style w:type="character" w:styleId="914">
    <w:name w:val="WW8Num1z7"/>
    <w:next w:val="914"/>
    <w:link w:val="902"/>
  </w:style>
  <w:style w:type="character" w:styleId="915">
    <w:name w:val="WW8Num1z8"/>
    <w:next w:val="915"/>
    <w:link w:val="902"/>
  </w:style>
  <w:style w:type="character" w:styleId="916">
    <w:name w:val="Основной шрифт абзаца2"/>
    <w:next w:val="916"/>
    <w:link w:val="902"/>
  </w:style>
  <w:style w:type="character" w:styleId="917">
    <w:name w:val="Основной шрифт абзаца1"/>
    <w:next w:val="917"/>
    <w:link w:val="902"/>
  </w:style>
  <w:style w:type="character" w:styleId="918">
    <w:name w:val="Гиперссылка"/>
    <w:next w:val="918"/>
    <w:link w:val="902"/>
    <w:rPr>
      <w:color w:val="0000ff"/>
      <w:u w:val="single"/>
    </w:rPr>
  </w:style>
  <w:style w:type="character" w:styleId="919">
    <w:name w:val="Номер страницы"/>
    <w:basedOn w:val="917"/>
    <w:next w:val="919"/>
    <w:link w:val="902"/>
  </w:style>
  <w:style w:type="paragraph" w:styleId="920">
    <w:name w:val="Заголовок"/>
    <w:basedOn w:val="902"/>
    <w:next w:val="921"/>
    <w:link w:val="902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921">
    <w:name w:val="Основной текст"/>
    <w:basedOn w:val="902"/>
    <w:next w:val="921"/>
    <w:link w:val="902"/>
    <w:pPr>
      <w:jc w:val="center"/>
    </w:pPr>
    <w:rPr>
      <w:b/>
      <w:bCs/>
      <w:caps/>
      <w:szCs w:val="20"/>
    </w:rPr>
  </w:style>
  <w:style w:type="paragraph" w:styleId="922">
    <w:name w:val="Список"/>
    <w:basedOn w:val="921"/>
    <w:next w:val="922"/>
    <w:link w:val="902"/>
    <w:rPr>
      <w:rFonts w:cs="Mangal"/>
    </w:rPr>
  </w:style>
  <w:style w:type="paragraph" w:styleId="923">
    <w:name w:val="Название объекта"/>
    <w:basedOn w:val="902"/>
    <w:next w:val="923"/>
    <w:link w:val="90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4">
    <w:name w:val="Указатель2"/>
    <w:basedOn w:val="902"/>
    <w:next w:val="924"/>
    <w:link w:val="902"/>
    <w:pPr>
      <w:suppressLineNumbers/>
    </w:pPr>
    <w:rPr>
      <w:rFonts w:cs="Mangal"/>
    </w:rPr>
  </w:style>
  <w:style w:type="paragraph" w:styleId="925">
    <w:name w:val="Название1"/>
    <w:basedOn w:val="902"/>
    <w:next w:val="925"/>
    <w:link w:val="90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6">
    <w:name w:val="Указатель1"/>
    <w:basedOn w:val="902"/>
    <w:next w:val="926"/>
    <w:link w:val="902"/>
    <w:pPr>
      <w:suppressLineNumbers/>
    </w:pPr>
    <w:rPr>
      <w:rFonts w:cs="Mangal"/>
    </w:rPr>
  </w:style>
  <w:style w:type="paragraph" w:styleId="927">
    <w:name w:val="Char Char Знак"/>
    <w:basedOn w:val="902"/>
    <w:next w:val="927"/>
    <w:link w:val="902"/>
    <w:rPr>
      <w:rFonts w:ascii="Verdana" w:hAnsi="Verdana" w:cs="Verdana"/>
      <w:sz w:val="20"/>
      <w:szCs w:val="20"/>
      <w:lang w:val="en-US"/>
    </w:rPr>
  </w:style>
  <w:style w:type="paragraph" w:styleId="928">
    <w:name w:val="Верхний колонтитул"/>
    <w:basedOn w:val="902"/>
    <w:next w:val="928"/>
    <w:link w:val="902"/>
    <w:pPr>
      <w:tabs>
        <w:tab w:val="center" w:pos="4677" w:leader="none"/>
        <w:tab w:val="right" w:pos="9355" w:leader="none"/>
      </w:tabs>
    </w:pPr>
  </w:style>
  <w:style w:type="paragraph" w:styleId="929">
    <w:name w:val="Основной текст с отступом"/>
    <w:basedOn w:val="902"/>
    <w:next w:val="929"/>
    <w:link w:val="902"/>
    <w:pPr>
      <w:ind w:left="283" w:right="0" w:firstLine="0"/>
      <w:spacing w:before="0" w:after="120"/>
    </w:pPr>
  </w:style>
  <w:style w:type="paragraph" w:styleId="930">
    <w:name w:val="Основной текст 21"/>
    <w:basedOn w:val="902"/>
    <w:next w:val="930"/>
    <w:link w:val="902"/>
    <w:pPr>
      <w:jc w:val="both"/>
    </w:pPr>
  </w:style>
  <w:style w:type="paragraph" w:styleId="931">
    <w:name w:val="ConsPlusNormal"/>
    <w:next w:val="931"/>
    <w:link w:val="902"/>
    <w:pPr>
      <w:ind w:firstLine="720"/>
      <w:widowControl w:val="off"/>
    </w:pPr>
    <w:rPr>
      <w:rFonts w:ascii="Arial" w:hAnsi="Arial" w:eastAsia="Arial" w:cs="Arial"/>
      <w:lang w:val="ru-RU" w:eastAsia="zh-CN" w:bidi="ar-SA"/>
    </w:rPr>
  </w:style>
  <w:style w:type="paragraph" w:styleId="932">
    <w:name w:val="Нижний колонтитул"/>
    <w:basedOn w:val="902"/>
    <w:next w:val="932"/>
    <w:link w:val="902"/>
    <w:pPr>
      <w:tabs>
        <w:tab w:val="center" w:pos="4677" w:leader="none"/>
        <w:tab w:val="right" w:pos="9355" w:leader="none"/>
      </w:tabs>
    </w:pPr>
  </w:style>
  <w:style w:type="paragraph" w:styleId="933">
    <w:name w:val="Текст выноски"/>
    <w:basedOn w:val="902"/>
    <w:next w:val="933"/>
    <w:link w:val="902"/>
    <w:rPr>
      <w:rFonts w:ascii="Tahoma" w:hAnsi="Tahoma" w:cs="Tahoma"/>
      <w:sz w:val="16"/>
      <w:szCs w:val="16"/>
    </w:rPr>
  </w:style>
  <w:style w:type="paragraph" w:styleId="934">
    <w:name w:val="Название объекта1"/>
    <w:basedOn w:val="902"/>
    <w:next w:val="902"/>
    <w:link w:val="902"/>
    <w:pPr>
      <w:jc w:val="center"/>
      <w:spacing w:line="120" w:lineRule="atLeast"/>
    </w:pPr>
    <w:rPr>
      <w:b/>
      <w:caps/>
      <w:sz w:val="18"/>
    </w:rPr>
  </w:style>
  <w:style w:type="paragraph" w:styleId="935">
    <w:name w:val="Содержимое таблицы"/>
    <w:basedOn w:val="902"/>
    <w:next w:val="935"/>
    <w:link w:val="902"/>
    <w:pPr>
      <w:suppressLineNumbers/>
    </w:pPr>
  </w:style>
  <w:style w:type="paragraph" w:styleId="936">
    <w:name w:val="Заголовок таблицы"/>
    <w:basedOn w:val="935"/>
    <w:next w:val="936"/>
    <w:link w:val="902"/>
    <w:pPr>
      <w:jc w:val="center"/>
      <w:suppressLineNumbers/>
    </w:pPr>
    <w:rPr>
      <w:b/>
      <w:bCs/>
    </w:rPr>
  </w:style>
  <w:style w:type="paragraph" w:styleId="937">
    <w:name w:val="Содержимое врезки"/>
    <w:basedOn w:val="921"/>
    <w:next w:val="937"/>
    <w:link w:val="902"/>
  </w:style>
  <w:style w:type="paragraph" w:styleId="938">
    <w:name w:val="Обычный (веб)"/>
    <w:basedOn w:val="902"/>
    <w:next w:val="938"/>
    <w:link w:val="902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939">
    <w:name w:val="Строгий"/>
    <w:next w:val="939"/>
    <w:link w:val="902"/>
    <w:uiPriority w:val="22"/>
    <w:qFormat/>
    <w:rPr>
      <w:b/>
      <w:bCs/>
    </w:rPr>
  </w:style>
  <w:style w:type="character" w:styleId="940">
    <w:name w:val="Просмотренная гиперссылка"/>
    <w:next w:val="940"/>
    <w:link w:val="902"/>
    <w:uiPriority w:val="99"/>
    <w:semiHidden/>
    <w:unhideWhenUsed/>
    <w:rPr>
      <w:color w:val="800080"/>
      <w:u w:val="single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nk.cap.ru/transportation/for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revision>13</cp:revision>
  <dcterms:created xsi:type="dcterms:W3CDTF">2024-01-30T14:19:00Z</dcterms:created>
  <dcterms:modified xsi:type="dcterms:W3CDTF">2024-05-29T10:58:06Z</dcterms:modified>
  <cp:version>917504</cp:version>
</cp:coreProperties>
</file>