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555" w:type="dxa"/>
        <w:jc w:val="center"/>
        <w:tblInd w:w="-1230" w:type="dxa"/>
        <w:tblLook w:val="04A0" w:firstRow="1" w:lastRow="0" w:firstColumn="1" w:lastColumn="0" w:noHBand="0" w:noVBand="1"/>
      </w:tblPr>
      <w:tblGrid>
        <w:gridCol w:w="4691"/>
        <w:gridCol w:w="1510"/>
        <w:gridCol w:w="4354"/>
      </w:tblGrid>
      <w:tr>
        <w:tblPrEx/>
        <w:trPr>
          <w:cantSplit/>
          <w:jc w:val="center"/>
          <w:trHeight w:val="87"/>
        </w:trPr>
        <w:tc>
          <w:tcPr>
            <w:tcW w:w="469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aps/>
                <w:spacing w:val="-10"/>
                <w:sz w:val="24"/>
                <w:szCs w:val="24"/>
              </w:rPr>
            </w:pPr>
            <w:r>
              <w:rPr>
                <w:b/>
                <w:bCs/>
                <w:caps/>
                <w:spacing w:val="-10"/>
                <w:sz w:val="24"/>
                <w:szCs w:val="24"/>
              </w:rPr>
              <w:t xml:space="preserve">Чăваш</w:t>
            </w:r>
            <w:r>
              <w:rPr>
                <w:b/>
                <w:bCs/>
                <w:caps/>
                <w:spacing w:val="-10"/>
                <w:sz w:val="24"/>
                <w:szCs w:val="24"/>
              </w:rPr>
              <w:t xml:space="preserve">  </w:t>
            </w:r>
            <w:r>
              <w:rPr>
                <w:b/>
                <w:bCs/>
                <w:caps/>
                <w:spacing w:val="-10"/>
                <w:sz w:val="24"/>
                <w:szCs w:val="24"/>
              </w:rPr>
              <w:t xml:space="preserve">Республикин</w:t>
            </w:r>
            <w:r>
              <w:rPr>
                <w:b/>
                <w:bCs/>
                <w:caps/>
                <w:spacing w:val="-10"/>
                <w:sz w:val="24"/>
                <w:szCs w:val="24"/>
              </w:rPr>
            </w:r>
            <w:r>
              <w:rPr>
                <w:b/>
                <w:bCs/>
                <w:caps/>
                <w:spacing w:val="-10"/>
                <w:sz w:val="24"/>
                <w:szCs w:val="24"/>
              </w:rPr>
            </w:r>
          </w:p>
          <w:p>
            <w:pPr>
              <w:jc w:val="center"/>
              <w:spacing w:line="120" w:lineRule="atLeast"/>
              <w:rPr>
                <w:b/>
                <w:bCs/>
                <w:spacing w:val="-10"/>
                <w:sz w:val="24"/>
                <w:szCs w:val="24"/>
              </w:rPr>
              <w:framePr w:w="4549" w:h="4693" w:hSpace="141" w:wrap="around" w:vAnchor="text" w:hAnchor="page" w:x="1261" w:y="185"/>
            </w:pPr>
            <w:r>
              <w:rPr>
                <w:b/>
                <w:caps/>
                <w:sz w:val="24"/>
                <w:szCs w:val="24"/>
              </w:rPr>
              <w:t xml:space="preserve">промышленность  тата  энергетика  </w:t>
            </w:r>
            <w:r>
              <w:rPr>
                <w:b/>
                <w:caps/>
                <w:sz w:val="24"/>
                <w:szCs w:val="24"/>
              </w:rPr>
              <w:t xml:space="preserve">министерстви</w:t>
            </w:r>
            <w:r>
              <w:rPr>
                <w:b/>
                <w:bCs/>
                <w:spacing w:val="-10"/>
                <w:sz w:val="24"/>
                <w:szCs w:val="24"/>
              </w:rPr>
            </w:r>
            <w:r>
              <w:rPr>
                <w:b/>
                <w:bCs/>
                <w:spacing w:val="-10"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ПРИКАЗ</w:t>
            </w:r>
            <w:r>
              <w:rPr>
                <w:rFonts w:eastAsia="Arial Unicode MS"/>
                <w:b/>
                <w:bCs/>
                <w:sz w:val="24"/>
                <w:szCs w:val="24"/>
              </w:rPr>
            </w:r>
            <w:r>
              <w:rPr>
                <w:rFonts w:eastAsia="Arial Unicode MS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_____________  ___________</w:t>
            </w:r>
            <w:r>
              <w:rPr>
                <w:rFonts w:eastAsia="Arial Unicode MS"/>
                <w:sz w:val="24"/>
                <w:szCs w:val="24"/>
              </w:rPr>
              <w:t xml:space="preserve">№</w:t>
            </w:r>
            <w:r>
              <w:rPr>
                <w:rFonts w:eastAsia="Arial Unicode MS"/>
                <w:b/>
                <w:bCs/>
                <w:sz w:val="24"/>
                <w:szCs w:val="24"/>
              </w:rPr>
            </w:r>
            <w:r>
              <w:rPr>
                <w:rFonts w:eastAsia="Arial Unicode MS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ET" w:hAnsi="TimesET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Шупашкар</w:t>
            </w:r>
            <w:r>
              <w:rPr>
                <w:rFonts w:eastAsia="Arial Unicode MS"/>
                <w:sz w:val="24"/>
                <w:szCs w:val="24"/>
              </w:rPr>
              <w:t xml:space="preserve"> хули</w:t>
            </w:r>
            <w:r>
              <w:rPr>
                <w:rFonts w:ascii="TimesET" w:hAnsi="TimesET"/>
                <w:sz w:val="24"/>
                <w:szCs w:val="24"/>
              </w:rPr>
            </w:r>
            <w:r>
              <w:rPr>
                <w:rFonts w:ascii="TimesET" w:hAnsi="TimesET"/>
                <w:sz w:val="24"/>
                <w:szCs w:val="24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  <w:sz w:val="24"/>
                <w:szCs w:val="24"/>
              </w:rPr>
            </w:r>
            <w:r>
              <w:rPr>
                <w:rFonts w:ascii="TimesET" w:hAnsi="TimesET"/>
                <w:sz w:val="24"/>
                <w:szCs w:val="24"/>
              </w:rPr>
            </w:r>
            <w:r>
              <w:rPr>
                <w:rFonts w:ascii="TimesET" w:hAnsi="TimesET"/>
                <w:sz w:val="24"/>
                <w:szCs w:val="24"/>
              </w:rPr>
            </w:r>
          </w:p>
          <w:p>
            <w:pPr>
              <w:jc w:val="center"/>
              <w:rPr>
                <w:rFonts w:ascii="TimesET" w:hAnsi="TimesET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rFonts w:ascii="TimesET" w:hAnsi="TimesET"/>
                <w:sz w:val="24"/>
                <w:szCs w:val="24"/>
              </w:rPr>
              <w:object w:dxaOrig="1272" w:dyaOrig="128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width:63.50pt;height:64.00pt;mso-wrap-distance-left:0.00pt;mso-wrap-distance-top:0.00pt;mso-wrap-distance-right:0.00pt;mso-wrap-distance-bottom:0.00pt;" filled="f" stroked="f">
                  <v:path textboxrect="0,0,0,0"/>
                  <v:imagedata r:id="rId9" o:title=""/>
                </v:shape>
                <o:OLEObject DrawAspect="Content" r:id="rId10" ObjectID="_1525040" ProgID="MSDraw" ShapeID="_x0000_i0" Type="Embed"/>
              </w:object>
            </w:r>
            <w:r>
              <w:rPr>
                <w:rFonts w:ascii="TimesET" w:hAnsi="TimesET"/>
                <w:sz w:val="24"/>
                <w:szCs w:val="24"/>
              </w:rPr>
            </w:r>
            <w:r>
              <w:rPr>
                <w:rFonts w:ascii="TimesET" w:hAnsi="TimesET"/>
                <w:sz w:val="24"/>
                <w:szCs w:val="24"/>
              </w:rPr>
            </w:r>
          </w:p>
        </w:tc>
        <w:tc>
          <w:tcPr>
            <w:tcW w:w="435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aps/>
                <w:spacing w:val="-10"/>
                <w:sz w:val="24"/>
                <w:szCs w:val="24"/>
              </w:rPr>
            </w:pPr>
            <w:r>
              <w:rPr>
                <w:b/>
                <w:bCs/>
                <w:caps/>
                <w:spacing w:val="-10"/>
                <w:sz w:val="24"/>
                <w:szCs w:val="24"/>
              </w:rPr>
              <w:t xml:space="preserve">Министерство </w:t>
            </w:r>
            <w:r>
              <w:rPr>
                <w:b/>
                <w:bCs/>
                <w:caps/>
                <w:spacing w:val="-10"/>
                <w:sz w:val="24"/>
                <w:szCs w:val="24"/>
              </w:rPr>
            </w:r>
            <w:r>
              <w:rPr>
                <w:b/>
                <w:bCs/>
                <w:caps/>
                <w:spacing w:val="-10"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caps/>
                <w:spacing w:val="-10"/>
                <w:sz w:val="24"/>
                <w:szCs w:val="24"/>
              </w:rPr>
            </w:pPr>
            <w:r>
              <w:rPr>
                <w:b/>
                <w:bCs/>
                <w:caps/>
                <w:spacing w:val="-10"/>
                <w:sz w:val="24"/>
                <w:szCs w:val="24"/>
              </w:rPr>
              <w:t xml:space="preserve"> промышленности  и  энергетики   </w:t>
            </w:r>
            <w:r>
              <w:rPr>
                <w:b/>
                <w:bCs/>
                <w:caps/>
                <w:spacing w:val="-10"/>
                <w:sz w:val="24"/>
                <w:szCs w:val="24"/>
              </w:rPr>
            </w:r>
            <w:r>
              <w:rPr>
                <w:b/>
                <w:bCs/>
                <w:caps/>
                <w:spacing w:val="-10"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pacing w:val="-10"/>
                <w:sz w:val="24"/>
                <w:szCs w:val="24"/>
              </w:rPr>
              <w:t xml:space="preserve">Чувашской  Республики</w:t>
            </w:r>
            <w:r>
              <w:rPr>
                <w:b/>
                <w:bCs/>
                <w:caps/>
                <w:sz w:val="24"/>
                <w:szCs w:val="24"/>
              </w:rPr>
            </w:r>
            <w:r>
              <w:rPr>
                <w:b/>
                <w:bCs/>
                <w:caps/>
                <w:sz w:val="24"/>
                <w:szCs w:val="24"/>
              </w:rPr>
            </w:r>
          </w:p>
          <w:p>
            <w:pPr>
              <w:pStyle w:val="84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_____________№__________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ascii="TimesET" w:hAnsi="TimesE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.Ч</w:t>
            </w:r>
            <w:r>
              <w:rPr>
                <w:sz w:val="24"/>
                <w:szCs w:val="24"/>
              </w:rPr>
              <w:t xml:space="preserve">ебоксары</w:t>
            </w:r>
            <w:r>
              <w:rPr>
                <w:rFonts w:ascii="TimesET" w:hAnsi="TimesET"/>
                <w:sz w:val="24"/>
                <w:szCs w:val="24"/>
              </w:rPr>
            </w:r>
            <w:r>
              <w:rPr>
                <w:rFonts w:ascii="TimesET" w:hAnsi="TimesET"/>
                <w:sz w:val="24"/>
                <w:szCs w:val="24"/>
              </w:rPr>
            </w:r>
          </w:p>
        </w:tc>
      </w:tr>
    </w:tbl>
    <w:p>
      <w:pPr>
        <w:pStyle w:val="854"/>
        <w:spacing w:before="10"/>
        <w:rPr>
          <w:rFonts w:ascii="Cambria"/>
          <w:sz w:val="24"/>
          <w:szCs w:val="24"/>
        </w:rPr>
      </w:pPr>
      <w:r>
        <w:rPr>
          <w:rFonts w:ascii="Cambria"/>
          <w:sz w:val="24"/>
          <w:szCs w:val="24"/>
        </w:rPr>
      </w:r>
      <w:r>
        <w:rPr>
          <w:rFonts w:ascii="Cambria"/>
          <w:sz w:val="24"/>
          <w:szCs w:val="24"/>
        </w:rPr>
      </w:r>
      <w:r>
        <w:rPr>
          <w:rFonts w:ascii="Cambria"/>
          <w:sz w:val="24"/>
          <w:szCs w:val="24"/>
        </w:rPr>
      </w:r>
    </w:p>
    <w:p>
      <w:pPr>
        <w:ind w:left="567" w:right="502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  признании             утратившим 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left="567" w:right="502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силу    приказа        Министерства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left="567" w:right="5025"/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промышленности</w:t>
      </w:r>
      <w:r>
        <w:rPr>
          <w:b/>
          <w:sz w:val="26"/>
          <w:szCs w:val="26"/>
        </w:rPr>
        <w:t xml:space="preserve">   и   энергетики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  <w:highlight w:val="none"/>
        </w:rPr>
      </w:r>
    </w:p>
    <w:p>
      <w:pPr>
        <w:ind w:left="567" w:right="50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highlight w:val="none"/>
        </w:rPr>
        <w:t xml:space="preserve">Чувашской                   Республики</w:t>
      </w:r>
      <w:r>
        <w:rPr>
          <w:b/>
          <w:bCs/>
          <w:sz w:val="26"/>
          <w:szCs w:val="26"/>
          <w:highlight w:val="none"/>
        </w:rPr>
      </w:r>
    </w:p>
    <w:p>
      <w:pPr>
        <w:ind w:left="567" w:right="5025"/>
        <w:rPr>
          <w:highlight w:val="none"/>
        </w:rPr>
      </w:pPr>
      <w:r>
        <w:rPr>
          <w:b/>
          <w:sz w:val="26"/>
          <w:szCs w:val="26"/>
        </w:rPr>
        <w:t xml:space="preserve">от  21  декабря 2020 г. № 02-03/154 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5025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567" w:right="5025"/>
        <w:rPr>
          <w:b/>
          <w:bCs/>
          <w:sz w:val="26"/>
          <w:szCs w:val="26"/>
        </w:rPr>
      </w:pPr>
      <w:r>
        <w:rPr>
          <w:highlight w:val="none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left="567"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 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ю: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55"/>
        <w:numPr>
          <w:ilvl w:val="0"/>
          <w:numId w:val="9"/>
        </w:numPr>
        <w:ind w:left="567" w:right="0" w:firstLine="709"/>
        <w:jc w:val="both"/>
        <w:tabs>
          <w:tab w:val="left" w:pos="155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приказ Министерства промышленности и энергетики Чуваш</w:t>
      </w:r>
      <w:r>
        <w:rPr>
          <w:sz w:val="26"/>
          <w:szCs w:val="26"/>
        </w:rPr>
        <w:t xml:space="preserve">ской Республики от 21 декабря 2020 г. № 02-03/154 «Об обработке персональных данных в Министерстве промышленности и энергетике Чувашской Республики» (зарегистрирован в Государственной службе Чувашской Республики по делам юстиции 5 февраля 2021 г., № 6735).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5"/>
        <w:numPr>
          <w:ilvl w:val="0"/>
          <w:numId w:val="9"/>
        </w:numPr>
        <w:ind w:left="567" w:right="0" w:firstLine="709"/>
        <w:jc w:val="both"/>
        <w:tabs>
          <w:tab w:val="left" w:pos="1559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Настоящий приказ вступает в силу через десять дней после дня его официального опубликования.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0"/>
        <w:tabs>
          <w:tab w:val="left" w:pos="1701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67"/>
        <w:rPr>
          <w:sz w:val="26"/>
          <w:szCs w:val="26"/>
        </w:rPr>
      </w:pPr>
      <w:r>
        <w:rPr>
          <w:sz w:val="26"/>
          <w:szCs w:val="26"/>
        </w:rPr>
        <w:t xml:space="preserve">Министр                                                                                                              С.Н. Лекарев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4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65" w:lineRule="exact"/>
        <w:rPr>
          <w:sz w:val="24"/>
          <w:szCs w:val="24"/>
        </w:rPr>
        <w:sectPr>
          <w:footnotePr/>
          <w:endnotePr/>
          <w:type w:val="continuous"/>
          <w:pgSz w:w="11910" w:h="16840" w:orient="portrait"/>
          <w:pgMar w:top="1580" w:right="760" w:bottom="280" w:left="880" w:header="720" w:footer="720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sectPr>
      <w:footnotePr/>
      <w:endnotePr/>
      <w:type w:val="continuous"/>
      <w:pgSz w:w="11910" w:h="16840" w:orient="portrait"/>
      <w:pgMar w:top="1580" w:right="760" w:bottom="280" w:left="8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ET">
    <w:panose1 w:val="02000603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4" w:hanging="271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62" w:hanging="2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4" w:hanging="2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07" w:hanging="2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29" w:hanging="2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952" w:hanging="2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574" w:hanging="2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197" w:hanging="2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819" w:hanging="27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6" w:hanging="333"/>
        <w:jc w:val="left"/>
      </w:pPr>
      <w:rPr>
        <w:rFonts w:hint="default" w:ascii="Times New Roman" w:hAnsi="Times New Roman" w:eastAsia="Times New Roman" w:cs="Times New Roman"/>
        <w:sz w:val="25"/>
        <w:szCs w:val="25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20" w:hanging="33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0" w:hanging="33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1" w:hanging="33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1" w:hanging="33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2" w:hanging="33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22" w:hanging="33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33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43" w:hanging="33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8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0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2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14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8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0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2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44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1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45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1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45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3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0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7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4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9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6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3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09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50"/>
    <w:link w:val="849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8"/>
    <w:next w:val="848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50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8"/>
    <w:next w:val="848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50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8"/>
    <w:next w:val="848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50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8"/>
    <w:next w:val="848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50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8"/>
    <w:next w:val="848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50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8"/>
    <w:next w:val="848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50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8"/>
    <w:next w:val="848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50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8"/>
    <w:next w:val="848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50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50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50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50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50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50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50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49">
    <w:name w:val="Heading 1"/>
    <w:basedOn w:val="848"/>
    <w:uiPriority w:val="1"/>
    <w:qFormat/>
    <w:pPr>
      <w:ind w:left="552"/>
      <w:jc w:val="center"/>
      <w:outlineLvl w:val="0"/>
    </w:pPr>
    <w:rPr>
      <w:rFonts w:ascii="Calibri" w:hAnsi="Calibri" w:eastAsia="Calibri" w:cs="Calibri"/>
      <w:sz w:val="26"/>
      <w:szCs w:val="26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table" w:styleId="85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4">
    <w:name w:val="Body Text"/>
    <w:basedOn w:val="848"/>
    <w:uiPriority w:val="1"/>
    <w:qFormat/>
    <w:rPr>
      <w:sz w:val="25"/>
      <w:szCs w:val="25"/>
    </w:rPr>
  </w:style>
  <w:style w:type="paragraph" w:styleId="855">
    <w:name w:val="List Paragraph"/>
    <w:basedOn w:val="848"/>
    <w:uiPriority w:val="1"/>
    <w:qFormat/>
    <w:pPr>
      <w:ind w:left="666" w:hanging="270"/>
      <w:jc w:val="both"/>
    </w:pPr>
  </w:style>
  <w:style w:type="paragraph" w:styleId="856" w:customStyle="1">
    <w:name w:val="Table Paragraph"/>
    <w:basedOn w:val="848"/>
    <w:uiPriority w:val="1"/>
    <w:qFormat/>
  </w:style>
  <w:style w:type="paragraph" w:styleId="857">
    <w:name w:val="Balloon Text"/>
    <w:basedOn w:val="848"/>
    <w:link w:val="858"/>
    <w:uiPriority w:val="99"/>
    <w:semiHidden/>
    <w:unhideWhenUsed/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850"/>
    <w:link w:val="857"/>
    <w:uiPriority w:val="99"/>
    <w:semiHidden/>
    <w:rPr>
      <w:rFonts w:ascii="Tahoma" w:hAnsi="Tahoma" w:eastAsia="Times New Roman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Грунина Мария Александровна</dc:creator>
  <cp:revision>9</cp:revision>
  <dcterms:created xsi:type="dcterms:W3CDTF">2024-11-20T12:33:00Z</dcterms:created>
  <dcterms:modified xsi:type="dcterms:W3CDTF">2024-12-10T10:50:10Z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2024-08-28T00:00:00Z</vt:filetime>
  </property>
</Properties>
</file>