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>
      <w:bookmarkStart w:id="0" w:name="_GoBack"/>
      <w:bookmarkEnd w:id="0"/>
    </w:p>
    <w:tbl>
      <w:tblPr>
        <w:tblpPr w:leftFromText="180" w:rightFromText="180" w:vertAnchor="text" w:horzAnchor="margin" w:tblpY="-172"/>
        <w:tblW w:w="9854" w:type="dxa"/>
        <w:tblLayout w:type="fixed"/>
        <w:tblLook w:val="01E0" w:firstRow="1" w:lastRow="1" w:firstColumn="1" w:lastColumn="1" w:noHBand="0" w:noVBand="0"/>
      </w:tblPr>
      <w:tblGrid>
        <w:gridCol w:w="3936"/>
        <w:gridCol w:w="1984"/>
        <w:gridCol w:w="3934"/>
      </w:tblGrid>
      <w:tr>
        <w:tc>
          <w:tcPr>
            <w:tcW w:w="3936" w:type="dxa"/>
          </w:tcPr>
          <w:p>
            <w:pPr>
              <w:spacing w:line="192" w:lineRule="auto"/>
              <w:jc w:val="center"/>
              <w:rPr>
                <w:rFonts w:ascii="Arial Cyr Chuv" w:hAnsi="Arial Cyr Chuv" w:cs="Arial Cyr Chuv"/>
                <w:b/>
                <w:bCs/>
                <w:sz w:val="22"/>
                <w:szCs w:val="22"/>
              </w:rPr>
            </w:pPr>
            <w:proofErr w:type="spellStart"/>
            <w:r>
              <w:rPr>
                <w:b/>
                <w:bCs/>
                <w:sz w:val="22"/>
                <w:szCs w:val="22"/>
              </w:rPr>
              <w:t>Ч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ӑ</w:t>
            </w:r>
            <w:r>
              <w:rPr>
                <w:b/>
                <w:bCs/>
                <w:sz w:val="22"/>
                <w:szCs w:val="22"/>
              </w:rPr>
              <w:t>ваш</w:t>
            </w:r>
            <w:proofErr w:type="spellEnd"/>
            <w:r>
              <w:rPr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b/>
                <w:bCs/>
                <w:sz w:val="22"/>
                <w:szCs w:val="22"/>
              </w:rPr>
              <w:t>Республикин</w:t>
            </w:r>
            <w:proofErr w:type="spellEnd"/>
          </w:p>
          <w:p>
            <w:pPr>
              <w:spacing w:line="192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КАНАШ ХУЛА</w:t>
            </w:r>
          </w:p>
          <w:p>
            <w:pPr>
              <w:spacing w:line="192" w:lineRule="auto"/>
              <w:jc w:val="center"/>
              <w:rPr>
                <w:rFonts w:ascii="Arial Cyr Chuv" w:hAnsi="Arial Cyr Chuv" w:cs="Arial Cyr Chuv"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АДМИНИСТРАЦИЙЕ</w:t>
            </w:r>
          </w:p>
          <w:p>
            <w:pPr>
              <w:spacing w:line="192" w:lineRule="auto"/>
              <w:jc w:val="center"/>
              <w:rPr>
                <w:rFonts w:ascii="Arial Cyr Chuv" w:hAnsi="Arial Cyr Chuv" w:cs="Arial Cyr Chuv"/>
                <w:b/>
                <w:bCs/>
                <w:sz w:val="24"/>
                <w:szCs w:val="24"/>
              </w:rPr>
            </w:pPr>
          </w:p>
          <w:p>
            <w:pPr>
              <w:spacing w:line="192" w:lineRule="auto"/>
              <w:jc w:val="center"/>
              <w:rPr>
                <w:rFonts w:ascii="Arial Cyr Chuv" w:hAnsi="Arial Cyr Chuv" w:cs="Arial Cyr Chuv"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ЙЫШАНУ</w:t>
            </w:r>
          </w:p>
          <w:p>
            <w:pPr>
              <w:spacing w:line="192" w:lineRule="auto"/>
              <w:jc w:val="center"/>
              <w:rPr>
                <w:rFonts w:ascii="Arial Cyr Chuv" w:hAnsi="Arial Cyr Chuv" w:cs="Arial Cyr Chuv"/>
                <w:b/>
                <w:bCs/>
                <w:sz w:val="24"/>
                <w:szCs w:val="24"/>
              </w:rPr>
            </w:pPr>
          </w:p>
          <w:p>
            <w:pPr>
              <w:spacing w:line="192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01.03.2023 № 166</w:t>
            </w:r>
          </w:p>
          <w:p>
            <w:pPr>
              <w:spacing w:line="192" w:lineRule="auto"/>
              <w:jc w:val="center"/>
              <w:rPr>
                <w:rFonts w:ascii="Arial Cyr Chuv" w:hAnsi="Arial Cyr Chuv" w:cs="Arial Cyr Chuv"/>
                <w:b/>
                <w:bCs/>
                <w:sz w:val="28"/>
                <w:szCs w:val="28"/>
              </w:rPr>
            </w:pPr>
          </w:p>
          <w:p>
            <w:pPr>
              <w:spacing w:line="192" w:lineRule="auto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Канаш хули</w:t>
            </w:r>
          </w:p>
        </w:tc>
        <w:tc>
          <w:tcPr>
            <w:tcW w:w="1984" w:type="dxa"/>
          </w:tcPr>
          <w:p>
            <w:pPr>
              <w:spacing w:line="192" w:lineRule="auto"/>
              <w:rPr>
                <w:rFonts w:ascii="Arial Cyr Chuv" w:hAnsi="Arial Cyr Chuv" w:cs="Arial Cyr Chuv"/>
                <w:b/>
                <w:bCs/>
                <w:sz w:val="24"/>
                <w:szCs w:val="24"/>
              </w:rPr>
            </w:pPr>
            <w:r>
              <w:rPr>
                <w:rFonts w:ascii="Arial Cyr Chuv" w:hAnsi="Arial Cyr Chuv" w:cs="Arial Cyr Chuv"/>
                <w:b/>
                <w:bCs/>
                <w:noProof/>
                <w:sz w:val="24"/>
                <w:szCs w:val="24"/>
              </w:rPr>
              <w:drawing>
                <wp:anchor distT="0" distB="0" distL="114300" distR="114300" simplePos="0" relativeHeight="251659264" behindDoc="1" locked="0" layoutInCell="1" allowOverlap="1">
                  <wp:simplePos x="0" y="0"/>
                  <wp:positionH relativeFrom="column">
                    <wp:posOffset>-22860</wp:posOffset>
                  </wp:positionH>
                  <wp:positionV relativeFrom="paragraph">
                    <wp:posOffset>64135</wp:posOffset>
                  </wp:positionV>
                  <wp:extent cx="1009650" cy="1309370"/>
                  <wp:effectExtent l="0" t="0" r="0" b="5080"/>
                  <wp:wrapTight wrapText="bothSides">
                    <wp:wrapPolygon edited="0">
                      <wp:start x="0" y="0"/>
                      <wp:lineTo x="0" y="21370"/>
                      <wp:lineTo x="21192" y="21370"/>
                      <wp:lineTo x="21192" y="0"/>
                      <wp:lineTo x="0" y="0"/>
                    </wp:wrapPolygon>
                  </wp:wrapTight>
                  <wp:docPr id="1" name="Рисунок 1" descr="C:\Users\gkan152\Desktop\kanash_gerb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C:\Users\gkan152\Desktop\kanash_gerb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09650" cy="13093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3934" w:type="dxa"/>
          </w:tcPr>
          <w:p>
            <w:pPr>
              <w:spacing w:line="192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АДМИНИСТРАЦИЯ</w:t>
            </w:r>
          </w:p>
          <w:p>
            <w:pPr>
              <w:spacing w:line="192" w:lineRule="auto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4"/>
                <w:szCs w:val="24"/>
              </w:rPr>
              <w:t>ГОРОДА КАНАШ</w:t>
            </w:r>
            <w:r>
              <w:rPr>
                <w:b/>
                <w:bCs/>
                <w:sz w:val="22"/>
                <w:szCs w:val="22"/>
              </w:rPr>
              <w:t xml:space="preserve">                                                                                                                                     Чувашской Республики</w:t>
            </w:r>
          </w:p>
          <w:p>
            <w:pPr>
              <w:spacing w:line="192" w:lineRule="auto"/>
              <w:jc w:val="center"/>
              <w:rPr>
                <w:b/>
                <w:bCs/>
                <w:sz w:val="24"/>
                <w:szCs w:val="24"/>
              </w:rPr>
            </w:pPr>
          </w:p>
          <w:p>
            <w:pPr>
              <w:spacing w:line="192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ПОСТАНОВЛЕНИЕ</w:t>
            </w:r>
          </w:p>
          <w:p>
            <w:pPr>
              <w:spacing w:line="192" w:lineRule="auto"/>
              <w:jc w:val="center"/>
              <w:rPr>
                <w:b/>
                <w:bCs/>
                <w:sz w:val="26"/>
                <w:szCs w:val="26"/>
              </w:rPr>
            </w:pPr>
          </w:p>
          <w:p>
            <w:pPr>
              <w:spacing w:line="192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01.03.2023 № 166</w:t>
            </w:r>
          </w:p>
          <w:p>
            <w:pPr>
              <w:spacing w:line="192" w:lineRule="auto"/>
              <w:jc w:val="center"/>
              <w:rPr>
                <w:b/>
                <w:bCs/>
                <w:sz w:val="26"/>
                <w:szCs w:val="26"/>
              </w:rPr>
            </w:pPr>
          </w:p>
          <w:p>
            <w:pPr>
              <w:spacing w:line="192" w:lineRule="auto"/>
              <w:jc w:val="center"/>
              <w:rPr>
                <w:rFonts w:ascii="Arial Cyr Chuv" w:hAnsi="Arial Cyr Chuv" w:cs="Arial Cyr Chuv"/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   г. Канаш</w:t>
            </w:r>
          </w:p>
        </w:tc>
      </w:tr>
    </w:tbl>
    <w:p>
      <w:pPr>
        <w:ind w:right="4252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О внесении изменений в административный</w:t>
      </w:r>
      <w:r>
        <w:rPr>
          <w:b/>
        </w:rPr>
        <w:t xml:space="preserve"> </w:t>
      </w:r>
      <w:r>
        <w:rPr>
          <w:b/>
          <w:sz w:val="24"/>
          <w:szCs w:val="24"/>
        </w:rPr>
        <w:t>регламент администрации города Канаш Чувашской Республики по предоставлению муниципальной услуги «Выдача разрешения на ввод объекта в эксплуатацию»</w:t>
      </w:r>
    </w:p>
    <w:p>
      <w:pPr>
        <w:ind w:firstLine="709"/>
        <w:jc w:val="both"/>
        <w:rPr>
          <w:sz w:val="24"/>
          <w:szCs w:val="24"/>
        </w:rPr>
      </w:pPr>
    </w:p>
    <w:p>
      <w:pPr>
        <w:ind w:firstLine="709"/>
        <w:jc w:val="both"/>
        <w:rPr>
          <w:sz w:val="24"/>
          <w:szCs w:val="24"/>
        </w:rPr>
      </w:pPr>
    </w:p>
    <w:p>
      <w:pPr>
        <w:ind w:firstLine="567"/>
        <w:jc w:val="both"/>
        <w:rPr>
          <w:b/>
          <w:sz w:val="24"/>
          <w:szCs w:val="24"/>
        </w:rPr>
      </w:pPr>
      <w:r>
        <w:rPr>
          <w:sz w:val="24"/>
          <w:szCs w:val="24"/>
        </w:rPr>
        <w:t xml:space="preserve">В соответствии с Федеральным законом от 29 декабря 2022 г. № 612-ФЗ «О внесении изменений в Градостроительный кодекс Российской Федерации и отдельные законодательные акты Российской Федерации и о признании утратившим силу абзаца второго пункта 2 статьи 16 Федерального закона «О железнодорожном транспорте в Российской Федерации», </w:t>
      </w:r>
      <w:r>
        <w:rPr>
          <w:b/>
          <w:sz w:val="24"/>
          <w:szCs w:val="24"/>
        </w:rPr>
        <w:t>Администрация города Канаш Чувашской Республики постановляет:</w:t>
      </w:r>
    </w:p>
    <w:p>
      <w:pPr>
        <w:ind w:firstLine="567"/>
        <w:jc w:val="both"/>
        <w:rPr>
          <w:sz w:val="24"/>
          <w:szCs w:val="24"/>
        </w:rPr>
      </w:pPr>
    </w:p>
    <w:p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1 Внести в административный регламент администрации города Канаш Чувашской Республики по предоставлению муниципальной услуги «Выдача разрешения на ввод объекта в эксплуатацию», утвержденный постановлением администрации города Канаш Чувашской Республики от 23 сентября 2020 г. № 679 следующие изменения:</w:t>
      </w:r>
    </w:p>
    <w:p>
      <w:pPr>
        <w:ind w:firstLine="567"/>
        <w:jc w:val="both"/>
        <w:rPr>
          <w:sz w:val="24"/>
          <w:szCs w:val="24"/>
        </w:rPr>
      </w:pPr>
    </w:p>
    <w:p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1.1 Подраздел 2.6 раздела </w:t>
      </w:r>
      <w:r>
        <w:rPr>
          <w:sz w:val="24"/>
          <w:szCs w:val="24"/>
          <w:lang w:val="en-US"/>
        </w:rPr>
        <w:t>II</w:t>
      </w:r>
      <w:r>
        <w:rPr>
          <w:sz w:val="24"/>
          <w:szCs w:val="24"/>
        </w:rPr>
        <w:t xml:space="preserve"> изложить в следующей редакции:</w:t>
      </w:r>
    </w:p>
    <w:p>
      <w:pPr>
        <w:ind w:firstLine="567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«2.6. Исчерпывающий перечень документов, необходимых в соответствии с нормативными правовыми актами Российской Федерации и Чувашской Республики для предоставления муниципальной услуги, подлежащих представлению заявителем, способы их получения заявителем, в том числе в электронной форме, порядок их представления</w:t>
      </w:r>
    </w:p>
    <w:p>
      <w:pPr>
        <w:ind w:firstLine="567"/>
        <w:jc w:val="center"/>
        <w:rPr>
          <w:b/>
          <w:sz w:val="24"/>
          <w:szCs w:val="24"/>
        </w:rPr>
      </w:pPr>
    </w:p>
    <w:p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2.6.1. В целях получения разрешения на ввод объекта в эксплуатацию заявитель направляет в администрацию города Канаш либо МФЦ заявление о выдаче разрешения на ввод, оформленное в соответствии с приложением № 1 к Административному регламенту.</w:t>
      </w:r>
    </w:p>
    <w:p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К заявлению прилагаются следующие документы:</w:t>
      </w:r>
    </w:p>
    <w:p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1) правоустанавливающие документы на земельный участок, в том числе соглашение об установлении сервитута, решение об установлении публичного сервитута;</w:t>
      </w:r>
    </w:p>
    <w:p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2) разрешение на строительство;</w:t>
      </w:r>
    </w:p>
    <w:p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3) акт о подключении (технологическом присоединении) построенного, реконструированного объекта капитального строительства к сетям инженерно-технического обеспечения (в случае, если такое подключение (технологическое присоединение) этого объекта предусмотрено проектной документацией);</w:t>
      </w:r>
    </w:p>
    <w:p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4) схема, отображающая расположение построенного, реконструированного объекта капитального строительства, расположение сетей инженерно-технического обеспечения в границах земельного участка и планировочную организацию земельного участка и подписанная лицом, осуществляющим строительство (лицом, осуществляющим строительство, и застройщиком или техническим заказчиком в случае осуществления строительства, реконструкции на основании договора строительного подряда), за исключением случаев строительства, реконструкции линейного объекта;</w:t>
      </w:r>
    </w:p>
    <w:p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5) заключение органа государственного строительного надзора (в случае, если предусмотрено осуществление государственного строительного надзора в соответствии с частью 1 статьи 54 настоящего Кодекса) о соответствии построенного, реконструированного объекта капитального строительства указанным в пункте 1 части 5 статьи 49 Градостроительного  кодекса Российской Федерации требованиям проектной документации (в том числе с учетом изменений, внесенных в рабочую документацию и являющихся в соответствии с частью 1.3 статьи 52 Градостроительного  кодекса Российской Федерации частью такой проектной документации), заключение уполномоченного на осуществление федерального государственного экологического надзора федерального органа исполнительной власти (далее - орган федерального государственного экологического надзора), выдаваемое в случаях, предусмотренных частью 5 статьи 54 Градостроительного  кодекса Российской Федерации;</w:t>
      </w:r>
    </w:p>
    <w:p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6) акт приемки выполненных работ по сохранению объекта культурного наследия, утвержденный соответствующим органом охраны объектов культурного наследия, определенным Федеральным законом от 25 июня 2002 года N 73-ФЗ "Об объектах культурного наследия (памятниках истории и культуры) народов Российской Федерации", при проведении реставрации, консервации, ремонта этого объекта и его приспособления для современного использования;</w:t>
      </w:r>
    </w:p>
    <w:p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7) технический план объекта капитального строительства, подготовленный в соответствии с Федеральным законом от 13 июля 2015 года N 218-ФЗ "О государственной регистрации недвижимости";</w:t>
      </w:r>
    </w:p>
    <w:p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2.6.2. Указанное в подпункте 5 пункта 2.6.1 настоящего административного регламента заключение должно содержать информацию о нормативных значениях показателей, включенных в состав требований энергетической эффективности объекта капитального строительства, и о фактических значениях таких показателей, определенных в отношении построенного, реконструированного объекта капитального строительства в результате проведенных исследований, замеров, экспертиз, испытаний, а также иную информацию, на основе которой устанавливается соответствие такого объекта требованиям энергетической эффективности и требованиям его оснащенности приборами учета используемых энергетических ресурсов. При строительстве, реконструкции многоквартирного дома заключение органа государственного строительного надзора также должно содержать информацию о классе энергетической эффективности многоквартирного дома, определяемом в соответствии с законодательством об энергосбережении и о повышении энергетической эффективности.</w:t>
      </w:r>
    </w:p>
    <w:p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Заявление и документы на предоставление муниципальной услуги могут быть представлены заявителем с использованием информационно-телекоммуникационных технологий (в электронном виде), в том числе с использованием Единого портала государственных и муниципальных услуг, ГИСОГД с момента создания соответствующей информационной и телекоммуникационной инфраструктуры.</w:t>
      </w:r>
    </w:p>
    <w:p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Заявление и документы, необходимые для предоставления муниципальной услуги, предоставляемые в форме электронных документов, подписываются в соответствии с требованиями Федерального закона от 06.04.2011 </w:t>
      </w:r>
      <w:r>
        <w:rPr>
          <w:sz w:val="24"/>
          <w:szCs w:val="24"/>
          <w:lang w:val="en-US"/>
        </w:rPr>
        <w:t>N</w:t>
      </w:r>
      <w:r>
        <w:rPr>
          <w:sz w:val="24"/>
          <w:szCs w:val="24"/>
        </w:rPr>
        <w:t xml:space="preserve"> 63-ФЗ "Об электронной подписи" и статьями 21.1 и 21.2 Федерального закона </w:t>
      </w:r>
      <w:r>
        <w:rPr>
          <w:sz w:val="24"/>
          <w:szCs w:val="24"/>
          <w:lang w:val="en-US"/>
        </w:rPr>
        <w:t>N</w:t>
      </w:r>
      <w:r>
        <w:rPr>
          <w:sz w:val="24"/>
          <w:szCs w:val="24"/>
        </w:rPr>
        <w:t xml:space="preserve"> 210-ФЗ "Об организации предоставления государственных и муниципальных услуг».».</w:t>
      </w:r>
    </w:p>
    <w:p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1.2. пункт 2 подраздела 2.7 исключить.</w:t>
      </w:r>
    </w:p>
    <w:p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 Контроль за исполнением настоящего постановления возложить на заместителя главы –начальника отдела строительства (главный архитектор) администрации города Канаш </w:t>
      </w:r>
      <w:proofErr w:type="spellStart"/>
      <w:r>
        <w:rPr>
          <w:sz w:val="24"/>
          <w:szCs w:val="24"/>
        </w:rPr>
        <w:t>Церфус</w:t>
      </w:r>
      <w:proofErr w:type="spellEnd"/>
      <w:r>
        <w:rPr>
          <w:sz w:val="24"/>
          <w:szCs w:val="24"/>
        </w:rPr>
        <w:t xml:space="preserve"> Д.О.</w:t>
      </w:r>
    </w:p>
    <w:p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3. Настоящее постановление вступает в силу после его официального опубликования.</w:t>
      </w:r>
    </w:p>
    <w:p>
      <w:pPr>
        <w:ind w:firstLine="567"/>
        <w:jc w:val="both"/>
        <w:rPr>
          <w:sz w:val="24"/>
          <w:szCs w:val="24"/>
        </w:rPr>
      </w:pPr>
    </w:p>
    <w:p>
      <w:pPr>
        <w:ind w:firstLine="567"/>
        <w:jc w:val="both"/>
        <w:rPr>
          <w:sz w:val="24"/>
          <w:szCs w:val="24"/>
        </w:rPr>
      </w:pPr>
    </w:p>
    <w:p>
      <w:pPr>
        <w:jc w:val="both"/>
        <w:rPr>
          <w:sz w:val="24"/>
          <w:szCs w:val="24"/>
        </w:rPr>
      </w:pPr>
    </w:p>
    <w:p>
      <w:pPr>
        <w:jc w:val="both"/>
        <w:rPr>
          <w:sz w:val="24"/>
        </w:rPr>
      </w:pPr>
      <w:r>
        <w:rPr>
          <w:sz w:val="24"/>
          <w:szCs w:val="24"/>
        </w:rPr>
        <w:t>Глава администрации</w:t>
      </w:r>
      <w:r>
        <w:rPr>
          <w:sz w:val="24"/>
        </w:rPr>
        <w:t xml:space="preserve"> города                                                                               В.Н. Михайлов</w:t>
      </w:r>
    </w:p>
    <w:sectPr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Cyr Chuv">
    <w:altName w:val="Arial"/>
    <w:panose1 w:val="00000000000000000000"/>
    <w:charset w:val="CC"/>
    <w:family w:val="swiss"/>
    <w:notTrueType/>
    <w:pitch w:val="variable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A34A69D-668B-4C3E-99F5-A34910FE52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pPr>
      <w:spacing w:before="100" w:beforeAutospacing="1" w:after="100" w:afterAutospacing="1"/>
    </w:pPr>
    <w:rPr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3422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27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2</Pages>
  <Words>976</Words>
  <Characters>5564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6527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Управляющий делами (Ольга В. Маркова)</dc:creator>
  <cp:lastModifiedBy>Глазов Николай Станиславович</cp:lastModifiedBy>
  <cp:revision>7</cp:revision>
  <cp:lastPrinted>2023-03-01T05:46:00Z</cp:lastPrinted>
  <dcterms:created xsi:type="dcterms:W3CDTF">2023-03-01T05:08:00Z</dcterms:created>
  <dcterms:modified xsi:type="dcterms:W3CDTF">2023-04-03T12:30:00Z</dcterms:modified>
</cp:coreProperties>
</file>