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34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745"/>
        <w:gridCol w:w="5040"/>
      </w:tblGrid>
      <w:tr>
        <w:trPr/>
        <w:tblPrEx/>
        <w:tc>
          <w:tcPr>
            <w:tcW w:w="9745" w:type="dxa"/>
            <w:noWrap w:val="false"/>
            <w:textDirection w:val="lrTb"/>
          </w:tcPr>
          <w:p>
            <w:pPr>
              <w:pStyle w:val="898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</w:p>
        </w:tc>
        <w:tc>
          <w:tcPr>
            <w:tcW w:w="5040" w:type="dxa"/>
            <w:noWrap w:val="false"/>
            <w:textDirection w:val="lrTb"/>
          </w:tcPr>
          <w:p>
            <w:pPr>
              <w:pStyle w:val="898"/>
              <w:jc w:val="right"/>
              <w:rPr>
                <w:rFonts w:ascii="TimesET" w:hAnsi="TimesET"/>
              </w:rPr>
            </w:pP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</w:p>
          <w:p>
            <w:pPr>
              <w:pStyle w:val="898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Утвержден </w:t>
            </w: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</w:p>
          <w:p>
            <w:pPr>
              <w:pStyle w:val="898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 xml:space="preserve">приказ</w:t>
            </w:r>
            <w:r>
              <w:rPr>
                <w:rFonts w:ascii="TimesET" w:hAnsi="TimesET"/>
              </w:rPr>
              <w:t xml:space="preserve">ом</w:t>
            </w:r>
            <w:r>
              <w:rPr>
                <w:rFonts w:ascii="TimesET" w:hAnsi="TimesET"/>
              </w:rPr>
              <w:t xml:space="preserve"> Государственной жилищной инспекции Чувашской Республики</w:t>
            </w: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</w:p>
          <w:p>
            <w:pPr>
              <w:pStyle w:val="898"/>
              <w:jc w:val="center"/>
              <w:rPr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31»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октября 20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4 </w:t>
            </w:r>
            <w:r>
              <w:rPr>
                <w:rFonts w:ascii="TimesET" w:hAnsi="TimesET"/>
                <w:sz w:val="26"/>
                <w:szCs w:val="26"/>
              </w:rPr>
              <w:t xml:space="preserve">г.  №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72-од</w:t>
            </w:r>
            <w:bookmarkStart w:id="0" w:name="undefined"/>
            <w:r>
              <w:rPr>
                <w:sz w:val="26"/>
                <w:szCs w:val="26"/>
              </w:rPr>
            </w:r>
            <w:bookmarkEnd w:id="0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pStyle w:val="898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  <w:r>
              <w:rPr>
                <w:rFonts w:ascii="TimesET" w:hAnsi="TimesET"/>
              </w:rPr>
            </w:r>
          </w:p>
        </w:tc>
      </w:tr>
    </w:tbl>
    <w:p>
      <w:pPr>
        <w:spacing w:line="23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spacing w:line="230" w:lineRule="auto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78"/>
        <w:spacing w:line="230" w:lineRule="auto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ПЛАН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Style w:val="878"/>
        <w:spacing w:line="23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 xml:space="preserve">противодействи</w:t>
      </w:r>
      <w:r>
        <w:rPr>
          <w:b/>
          <w:sz w:val="26"/>
          <w:szCs w:val="26"/>
        </w:rPr>
        <w:t xml:space="preserve">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коррупции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</w:rPr>
        <w:t xml:space="preserve">Государственной </w:t>
      </w:r>
      <w:r>
        <w:rPr>
          <w:b/>
        </w:rPr>
        <w:t xml:space="preserve">жилищной инспекции Чувашской </w:t>
      </w:r>
      <w:r>
        <w:rPr>
          <w:b/>
        </w:rPr>
        <w:t xml:space="preserve">Республики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spacing w:line="23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  <w:t xml:space="preserve">на 2025-2029 годы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78"/>
        <w:spacing w:line="230" w:lineRule="auto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5019" w:type="pct"/>
        <w:tblInd w:w="-132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43"/>
        <w:gridCol w:w="7335"/>
        <w:gridCol w:w="2657"/>
        <w:gridCol w:w="1959"/>
        <w:gridCol w:w="2048"/>
      </w:tblGrid>
      <w:tr>
        <w:trPr>
          <w:trHeight w:val="20"/>
        </w:trP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c>
          <w:tcPr>
            <w:tcW w:w="284" w:type="pct"/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471" w:type="pct"/>
            <w:noWrap w:val="false"/>
            <w:textDirection w:val="lrTb"/>
            <w:vAlign w:val="top"/>
          </w:tcPr>
          <w:p>
            <w:pPr>
              <w:pStyle w:val="878"/>
              <w:tabs>
                <w:tab w:val="left" w:pos="7703" w:leader="none"/>
              </w:tabs>
              <w:spacing w:line="23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Наименование меропри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тия</w:t>
            </w:r>
            <w:r>
              <w:rPr>
                <w:sz w:val="26"/>
                <w:szCs w:val="26"/>
                <w:lang w:val="en-US"/>
              </w:rPr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w="895" w:type="pct"/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60" w:type="pct"/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ind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ind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690" w:type="pct"/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роприятия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7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18" w:type="pct"/>
        <w:tblInd w:w="-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35"/>
        <w:gridCol w:w="7343"/>
        <w:gridCol w:w="2669"/>
        <w:gridCol w:w="1968"/>
        <w:gridCol w:w="2023"/>
      </w:tblGrid>
      <w:tr>
        <w:trPr>
          <w:trHeight w:val="157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left w:val="non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bottom w:val="singl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ind w:left="28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ассмотрение на заседании комиссии по соблюдению требований к служебному поведению </w:t>
            </w:r>
            <w:r>
              <w:rPr>
                <w:sz w:val="26"/>
                <w:szCs w:val="26"/>
              </w:rPr>
              <w:t xml:space="preserve">государственных гражданских служащих Чувашской Республики в 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 Чувашской Республики </w:t>
            </w:r>
            <w:r>
              <w:rPr>
                <w:sz w:val="26"/>
                <w:szCs w:val="26"/>
              </w:rPr>
              <w:t xml:space="preserve">и урегулированию конфликта интересов </w:t>
            </w:r>
            <w:r>
              <w:rPr>
                <w:sz w:val="26"/>
                <w:szCs w:val="26"/>
              </w:rPr>
              <w:t xml:space="preserve">(далее – Комиссия) </w:t>
            </w:r>
            <w:r>
              <w:rPr>
                <w:sz w:val="26"/>
                <w:szCs w:val="26"/>
              </w:rPr>
              <w:t xml:space="preserve">мер </w:t>
            </w:r>
            <w:r>
              <w:rPr>
                <w:sz w:val="26"/>
                <w:szCs w:val="26"/>
              </w:rPr>
              <w:t xml:space="preserve">по предупреждению коррупции, в том числе </w:t>
            </w: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реализации плана</w:t>
            </w:r>
            <w:r>
              <w:rPr>
                <w:sz w:val="26"/>
                <w:szCs w:val="26"/>
              </w:rPr>
              <w:t xml:space="preserve"> мероприятий по противодействию коррупции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редседатель Комиссии, заместитель руководителя – главного государственного жилищного инспектора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t xml:space="preserve">ежегодно на первом заседании Комиссии 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W w:w="2023" w:type="dxa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ротокол</w:t>
            </w:r>
            <w:r>
              <w:rPr>
                <w:sz w:val="26"/>
                <w:szCs w:val="26"/>
              </w:rPr>
              <w:t xml:space="preserve"> заседания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7" w:lineRule="auto"/>
              <w:ind w:left="28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нализ содержания нормативных правовых и иных актов в </w:t>
            </w:r>
            <w:r>
              <w:rPr>
                <w:sz w:val="26"/>
                <w:szCs w:val="26"/>
              </w:rPr>
              <w:t xml:space="preserve">сфере противодействия коррупции</w:t>
            </w:r>
            <w:r>
              <w:rPr>
                <w:sz w:val="26"/>
                <w:szCs w:val="26"/>
              </w:rPr>
              <w:t xml:space="preserve">, принятых в исполнительном органе Чувашской Республики (далее – исполнительный орган)</w:t>
            </w:r>
            <w:r>
              <w:rPr>
                <w:sz w:val="26"/>
                <w:szCs w:val="26"/>
              </w:rPr>
              <w:t xml:space="preserve">. П</w:t>
            </w:r>
            <w:r>
              <w:rPr>
                <w:sz w:val="26"/>
                <w:szCs w:val="26"/>
              </w:rPr>
              <w:t xml:space="preserve">ри необходимости приведение их в соответствие с </w:t>
            </w:r>
            <w:r>
              <w:rPr>
                <w:sz w:val="26"/>
                <w:szCs w:val="26"/>
              </w:rPr>
              <w:t xml:space="preserve">законодательством Российской Федерации и законодательством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руководителя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7" w:lineRule="auto"/>
              <w:ind w:left="28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 исполнительного органа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об </w:t>
            </w:r>
            <w:r>
              <w:rPr>
                <w:sz w:val="26"/>
                <w:szCs w:val="26"/>
              </w:rPr>
              <w:t xml:space="preserve">антикоррупционной экспертиз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7" w:lineRule="auto"/>
              <w:ind w:left="28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ониторинг публикаций в средствах массовой информации о фактах проявления коррупции в 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  <w:r>
              <w:rPr>
                <w:rFonts w:eastAsia="Calibri"/>
                <w:sz w:val="26"/>
                <w:szCs w:val="26"/>
                <w:lang w:eastAsia="en-US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организационной работы и контроля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руководителя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11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7" w:lineRule="auto"/>
              <w:ind w:left="28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в подразделе официального сайта исполнитель</w:t>
            </w:r>
            <w:r>
              <w:rPr>
                <w:sz w:val="26"/>
                <w:szCs w:val="26"/>
              </w:rPr>
              <w:t xml:space="preserve">ного органа в информационно-телекоммуникационной сети «Интернет», посвященном вопросам противодействия коррупции, актуальной информации о мерах по предупреждению коррупции, а также анализ содержания данного подраздела и его актуализация (при необходимости)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</w:t>
            </w:r>
            <w:r>
              <w:rPr>
                <w:sz w:val="26"/>
                <w:szCs w:val="26"/>
              </w:rPr>
              <w:t xml:space="preserve"> отдела организационной работы и контроля,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наличии оснований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поддержание в актуальном состоянии </w:t>
            </w:r>
            <w:r>
              <w:rPr>
                <w:sz w:val="26"/>
                <w:szCs w:val="26"/>
              </w:rPr>
              <w:t xml:space="preserve">подраздела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ind w:left="17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Содействие в организации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повышения квалификации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лиц, замещающих должности </w:t>
            </w:r>
            <w:r>
              <w:rPr>
                <w:sz w:val="26"/>
                <w:szCs w:val="26"/>
              </w:rPr>
              <w:t xml:space="preserve">государственн</w:t>
            </w:r>
            <w:r>
              <w:rPr>
                <w:sz w:val="26"/>
                <w:szCs w:val="26"/>
              </w:rPr>
              <w:t xml:space="preserve">ой</w:t>
            </w:r>
            <w:r>
              <w:rPr>
                <w:sz w:val="26"/>
                <w:szCs w:val="26"/>
              </w:rPr>
              <w:t xml:space="preserve"> гражданск</w:t>
            </w:r>
            <w:r>
              <w:rPr>
                <w:sz w:val="26"/>
                <w:szCs w:val="26"/>
              </w:rPr>
              <w:t xml:space="preserve">ой</w:t>
            </w:r>
            <w:r>
              <w:rPr>
                <w:sz w:val="26"/>
                <w:szCs w:val="26"/>
              </w:rPr>
              <w:t xml:space="preserve"> служ</w:t>
            </w:r>
            <w:r>
              <w:rPr>
                <w:sz w:val="26"/>
                <w:szCs w:val="26"/>
              </w:rPr>
              <w:t xml:space="preserve">бы</w:t>
            </w:r>
            <w:r>
              <w:rPr>
                <w:sz w:val="26"/>
                <w:szCs w:val="26"/>
              </w:rPr>
              <w:t xml:space="preserve"> Чувашской Республики в</w:t>
            </w:r>
            <w:r>
              <w:rPr>
                <w:sz w:val="26"/>
                <w:szCs w:val="26"/>
              </w:rPr>
              <w:t xml:space="preserve"> 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(далее – </w:t>
            </w:r>
            <w:r>
              <w:rPr>
                <w:sz w:val="26"/>
                <w:szCs w:val="26"/>
              </w:rPr>
              <w:t xml:space="preserve">государственный</w:t>
            </w:r>
            <w:r>
              <w:rPr>
                <w:sz w:val="26"/>
                <w:szCs w:val="26"/>
              </w:rPr>
              <w:t xml:space="preserve"> служащий)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по образовательным программам в области противодействия коррупции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br w:type="textWrapping" w:clear="all"/>
            </w: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</w:t>
            </w:r>
            <w:r>
              <w:rPr>
                <w:sz w:val="26"/>
                <w:szCs w:val="26"/>
              </w:rPr>
              <w:t xml:space="preserve"> (информация) </w:t>
            </w:r>
            <w:r>
              <w:rPr>
                <w:sz w:val="26"/>
                <w:szCs w:val="26"/>
              </w:rPr>
              <w:t xml:space="preserve">о результатах </w:t>
            </w:r>
            <w:r>
              <w:rPr>
                <w:sz w:val="26"/>
                <w:szCs w:val="26"/>
              </w:rPr>
              <w:t xml:space="preserve">повышени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квал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фикации </w:t>
            </w:r>
            <w:r>
              <w:rPr>
                <w:sz w:val="26"/>
                <w:szCs w:val="26"/>
              </w:rPr>
              <w:t xml:space="preserve">государственных служащих</w:t>
            </w:r>
            <w:r>
              <w:rPr>
                <w:sz w:val="26"/>
                <w:szCs w:val="26"/>
              </w:rPr>
              <w:t xml:space="preserve"> на имя руководителя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соблюдения предусмотренных </w:t>
            </w:r>
            <w:r>
              <w:rPr>
                <w:sz w:val="26"/>
                <w:szCs w:val="26"/>
              </w:rPr>
              <w:t xml:space="preserve">Соглашени</w:t>
            </w:r>
            <w:r>
              <w:rPr>
                <w:sz w:val="26"/>
                <w:szCs w:val="26"/>
              </w:rPr>
              <w:t xml:space="preserve">ем</w:t>
            </w:r>
            <w:r>
              <w:rPr>
                <w:sz w:val="26"/>
                <w:szCs w:val="26"/>
              </w:rPr>
              <w:t xml:space="preserve"> между Администрацией Главы Чувашской Республики и исполнительным орган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м об осуществлении функций по профилактике коррупционных и иных правонарушений, </w:t>
            </w:r>
            <w:r>
              <w:rPr>
                <w:sz w:val="26"/>
                <w:szCs w:val="26"/>
              </w:rPr>
              <w:t xml:space="preserve">сроков</w:t>
            </w:r>
            <w:r>
              <w:rPr>
                <w:sz w:val="26"/>
                <w:szCs w:val="26"/>
              </w:rPr>
              <w:t xml:space="preserve"> представления в Управление Главы Чувашской Республики по вопросам противодействия коррупции (далее – Управление):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</w:t>
            </w:r>
            <w:r>
              <w:rPr>
                <w:sz w:val="26"/>
                <w:szCs w:val="26"/>
              </w:rPr>
              <w:t xml:space="preserve">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государственных служащих </w:t>
            </w:r>
            <w:r>
              <w:rPr>
                <w:sz w:val="26"/>
                <w:szCs w:val="26"/>
              </w:rPr>
              <w:t xml:space="preserve">о личной заинтересованности при исполнении должностных обязанностей, которая приводит или может пр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вести к конфликту интересов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</w:t>
            </w:r>
            <w:r>
              <w:rPr>
                <w:sz w:val="26"/>
                <w:szCs w:val="26"/>
              </w:rPr>
              <w:t xml:space="preserve">ений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государственных служащих </w:t>
            </w:r>
            <w:r>
              <w:rPr>
                <w:sz w:val="26"/>
                <w:szCs w:val="26"/>
              </w:rPr>
              <w:t xml:space="preserve">о намерении выполнять иную оплачиваемую раб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ту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</w:t>
            </w:r>
            <w:r>
              <w:rPr>
                <w:sz w:val="26"/>
                <w:szCs w:val="26"/>
              </w:rPr>
              <w:t xml:space="preserve">лений государственных служащих </w:t>
            </w:r>
            <w:r>
              <w:rPr>
                <w:sz w:val="26"/>
                <w:szCs w:val="26"/>
              </w:rPr>
              <w:t xml:space="preserve">обо всех случаях обращения к ним каких-либо лиц в целях склонения к совершению коррупционных правон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руш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в Управление о численности лиц, исполнивших установленные антикоррупционные обязанности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</w:t>
            </w:r>
            <w:r>
              <w:rPr>
                <w:sz w:val="26"/>
                <w:szCs w:val="26"/>
              </w:rPr>
              <w:t xml:space="preserve">орректировка перечня коррупционно опасных функций и п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речня должностей в </w:t>
            </w:r>
            <w:r>
              <w:rPr>
                <w:sz w:val="26"/>
                <w:szCs w:val="26"/>
              </w:rPr>
              <w:t xml:space="preserve">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, замещение которых связано с коррупционными рисками</w:t>
            </w:r>
            <w:r>
              <w:rPr>
                <w:sz w:val="26"/>
                <w:szCs w:val="26"/>
              </w:rPr>
              <w:t xml:space="preserve">, по согласованию с Управлением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 xml:space="preserve">30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в нормативный правовой акт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ассмотрение на заседани</w:t>
            </w:r>
            <w:r>
              <w:rPr>
                <w:sz w:val="26"/>
                <w:szCs w:val="26"/>
              </w:rPr>
              <w:t xml:space="preserve">ях</w:t>
            </w:r>
            <w:r>
              <w:rPr>
                <w:sz w:val="26"/>
                <w:szCs w:val="26"/>
              </w:rPr>
              <w:t xml:space="preserve"> общественного совета, образованного при исполнительн</w:t>
            </w:r>
            <w:r>
              <w:rPr>
                <w:sz w:val="26"/>
                <w:szCs w:val="26"/>
              </w:rPr>
              <w:t xml:space="preserve">ом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принимаемых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мер по</w:t>
            </w:r>
            <w:r>
              <w:rPr>
                <w:sz w:val="26"/>
                <w:szCs w:val="26"/>
              </w:rPr>
              <w:t xml:space="preserve"> противодействи</w:t>
            </w:r>
            <w:r>
              <w:rPr>
                <w:sz w:val="26"/>
                <w:szCs w:val="26"/>
              </w:rPr>
              <w:t xml:space="preserve">ю</w:t>
            </w:r>
            <w:r>
              <w:rPr>
                <w:sz w:val="26"/>
                <w:szCs w:val="26"/>
              </w:rPr>
              <w:t xml:space="preserve"> коррупции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7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протокольное решение </w:t>
            </w:r>
            <w:r>
              <w:rPr>
                <w:sz w:val="26"/>
                <w:szCs w:val="26"/>
              </w:rPr>
              <w:t xml:space="preserve">по</w:t>
            </w:r>
            <w:r>
              <w:rPr>
                <w:sz w:val="26"/>
                <w:szCs w:val="26"/>
              </w:rPr>
              <w:t xml:space="preserve"> итога</w:t>
            </w:r>
            <w:r>
              <w:rPr>
                <w:sz w:val="26"/>
                <w:szCs w:val="26"/>
              </w:rPr>
              <w:t xml:space="preserve">м заседания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устранению случаев участия на стороне поставщиков продукции для обеспечения нужд Ч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вашской Республики близких родственников </w:t>
            </w:r>
            <w:r>
              <w:rPr>
                <w:sz w:val="26"/>
                <w:szCs w:val="26"/>
              </w:rPr>
              <w:t xml:space="preserve">государственных</w:t>
            </w:r>
            <w:r>
              <w:rPr>
                <w:sz w:val="26"/>
                <w:szCs w:val="26"/>
              </w:rPr>
              <w:t xml:space="preserve"> служащих, а также лиц, к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торые могут оказать прямое влияние на процесс формирования, размещения и контроля за осуществлением з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купок товаров, р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бот, услуг для обеспечения нужд Чувашской Республ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ки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организационной работы и контроля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t xml:space="preserve">(информация) </w:t>
            </w:r>
            <w:r>
              <w:rPr>
                <w:sz w:val="26"/>
                <w:szCs w:val="26"/>
              </w:rPr>
              <w:t xml:space="preserve">о принимаемых антикоррупц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онных мерах</w:t>
            </w:r>
            <w:r>
              <w:rPr>
                <w:sz w:val="26"/>
                <w:szCs w:val="26"/>
              </w:rPr>
              <w:t xml:space="preserve"> на имя руководителя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«горяч</w:t>
            </w:r>
            <w:r>
              <w:rPr>
                <w:sz w:val="26"/>
                <w:szCs w:val="26"/>
              </w:rPr>
              <w:t xml:space="preserve">ей</w:t>
            </w:r>
            <w:r>
              <w:rPr>
                <w:sz w:val="26"/>
                <w:szCs w:val="26"/>
              </w:rPr>
              <w:t xml:space="preserve"> лини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» на официальном сайте исполнительного органа в информационно-телекоммуникационной сети «Интернет» с целью улучшения обратной связи с гражданами и организациями, а также получения информации о фактах коррупции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организационной работы и контроля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функционировании «горячей линии»</w:t>
            </w:r>
            <w:r>
              <w:rPr>
                <w:sz w:val="26"/>
                <w:szCs w:val="26"/>
              </w:rPr>
              <w:t xml:space="preserve"> на имя руководителя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мер, касающихся предотвращения и урегулирования конфликта интересов в организациях, </w:t>
            </w:r>
            <w:r>
              <w:rPr>
                <w:sz w:val="26"/>
                <w:szCs w:val="26"/>
              </w:rPr>
              <w:t xml:space="preserve">находящихся в ведении </w:t>
            </w:r>
            <w:r>
              <w:rPr>
                <w:sz w:val="26"/>
                <w:szCs w:val="26"/>
              </w:rPr>
              <w:t xml:space="preserve">исполнительн</w:t>
            </w:r>
            <w:r>
              <w:rPr>
                <w:sz w:val="26"/>
                <w:szCs w:val="26"/>
              </w:rPr>
              <w:t xml:space="preserve">ого</w:t>
            </w:r>
            <w:r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(далее – подведомственные организации)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начальник отдела лицензирования и правовой работы</w:t>
            </w:r>
            <w:r>
              <w:rPr>
                <w:sz w:val="26"/>
                <w:szCs w:val="26"/>
              </w:rPr>
              <w:t xml:space="preserve"> – старший государственный жилищный инспектор Чувашской Республики</w:t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принятых мер</w:t>
            </w:r>
            <w:r>
              <w:rPr>
                <w:sz w:val="26"/>
                <w:szCs w:val="26"/>
              </w:rPr>
              <w:t xml:space="preserve">ах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имя руководителя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участие</w:t>
            </w:r>
            <w:r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в</w:t>
            </w:r>
            <w:r>
              <w:rPr>
                <w:sz w:val="26"/>
                <w:szCs w:val="26"/>
              </w:rPr>
              <w:t xml:space="preserve"> проверк</w:t>
            </w:r>
            <w:r>
              <w:rPr>
                <w:sz w:val="26"/>
                <w:szCs w:val="26"/>
              </w:rPr>
              <w:t xml:space="preserve">ах</w:t>
            </w:r>
            <w:r>
              <w:rPr>
                <w:sz w:val="26"/>
                <w:szCs w:val="26"/>
              </w:rPr>
              <w:t xml:space="preserve"> деятельности подведомственных организаци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 на предмет анализа осуществления антикоррупционной деятельности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организационной работы и контроля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 по результатам проверки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деятельности комиссий</w:t>
            </w:r>
            <w:r>
              <w:rPr>
                <w:sz w:val="26"/>
                <w:szCs w:val="26"/>
              </w:rPr>
              <w:t xml:space="preserve"> в сфере противодействия коррупции</w:t>
            </w:r>
            <w:r>
              <w:rPr>
                <w:sz w:val="26"/>
                <w:szCs w:val="26"/>
              </w:rPr>
              <w:t xml:space="preserve">, образованных в исполнительном органе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редседатель Комиссии, заместитель руководителя – главного государственного жилищного инспектора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t xml:space="preserve">(информация) </w:t>
            </w:r>
            <w:r>
              <w:rPr>
                <w:sz w:val="26"/>
                <w:szCs w:val="26"/>
              </w:rPr>
              <w:t xml:space="preserve">о деятельности комиссии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3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коррупционных рисков, возникающих при подготовке и принятии решений о распределении б</w:t>
            </w:r>
            <w:r>
              <w:rPr>
                <w:sz w:val="26"/>
                <w:szCs w:val="26"/>
              </w:rPr>
              <w:t xml:space="preserve">юджетных ассигнований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организационной работы и контроля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196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декабря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руководителя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0"/>
        </w:trPr>
        <w:tblPrEx/>
        <w:tc>
          <w:tcPr>
            <w:tcW w:w="83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Оценка коррупционных рисков, возникающих при осуществлении государственными служащими </w:t>
            </w:r>
            <w:r>
              <w:rPr>
                <w:sz w:val="26"/>
                <w:szCs w:val="26"/>
              </w:rPr>
              <w:t xml:space="preserve">регионального государственного жилищного контроля (надзора) </w:t>
            </w:r>
            <w:r>
              <w:rPr>
                <w:sz w:val="26"/>
                <w:szCs w:val="26"/>
              </w:rPr>
              <w:t xml:space="preserve">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  <w:r>
              <w:rPr>
                <w:sz w:val="26"/>
                <w:szCs w:val="26"/>
              </w:rPr>
            </w:r>
          </w:p>
          <w:p>
            <w:pPr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8"/>
              <w:spacing w:line="245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2669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начальник отдела лицензирования и правовой работы– старший государственный жилищный инспектор Чувашской Республики,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5" w:lineRule="auto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начальник отдела контроля платежей за жилищно-коммунальные услуги-</w:t>
            </w:r>
            <w:r>
              <w:rPr>
                <w:sz w:val="26"/>
                <w:szCs w:val="26"/>
                <w:highlight w:val="none"/>
              </w:rPr>
              <w:t xml:space="preserve">старший государственный жилищный инспектор Чувашской Республики,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5" w:lineRule="auto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  <w:t xml:space="preserve">начальник отдела государственного жилищного надзора-старший </w:t>
            </w:r>
            <w:r>
              <w:rPr>
                <w:sz w:val="26"/>
                <w:szCs w:val="26"/>
                <w:highlight w:val="none"/>
              </w:rPr>
              <w:t xml:space="preserve">государственный жилищный инспектор Чувашской Республики,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  <w:p>
            <w:pPr>
              <w:spacing w:line="245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none"/>
              </w:rPr>
              <w:t xml:space="preserve">начальник отдела мониторинга технического состояния жилищного фонда-</w:t>
            </w:r>
            <w:r>
              <w:rPr>
                <w:sz w:val="26"/>
                <w:szCs w:val="26"/>
                <w:highlight w:val="none"/>
              </w:rPr>
              <w:t xml:space="preserve">старший </w:t>
            </w:r>
            <w:r>
              <w:rPr>
                <w:sz w:val="26"/>
                <w:szCs w:val="26"/>
                <w:highlight w:val="none"/>
              </w:rPr>
              <w:t xml:space="preserve">государственный жилищный инспектор Чувашской Республики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tcW w:w="1968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руководителя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20"/>
        </w:trPr>
        <w:tblPrEx/>
        <w:tc>
          <w:tcPr>
            <w:tcW w:w="835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numPr>
                <w:numId w:val="2"/>
                <w:ilvl w:val="0"/>
              </w:num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34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Оценка коррупционных рисков, возникающих при оказании  государственных услуг по лицензированию </w:t>
            </w:r>
            <w:r>
              <w:rPr>
                <w:sz w:val="26"/>
                <w:szCs w:val="26"/>
              </w:rPr>
              <w:t xml:space="preserve">предпринимательской деятельности по управлению многоквартирными домами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по выдаче квалификационных аттестатов должностным лицам лицензиата, соискателя лицензии на осуществление предпринимательской деятельности по управлению многоквартирными домами, сдавшим квалификационный экзамен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669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45" w:lineRule="auto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начальник отдела лицензирования и правовой работы– старший государственный жилищный инспектор Чувашской Республики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1968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78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</w:rPr>
            </w:r>
          </w:p>
        </w:tc>
        <w:tc>
          <w:tcPr>
            <w:tcW w:w="2023" w:type="dxa"/>
            <w:vMerge w:val="restart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служебная записка о результатах оценки на имя руководителя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/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18" w:right="1134" w:bottom="1134" w:left="1134" w:header="992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ET">
    <w:panose1 w:val="02000603000000000000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framePr w:wrap="around" w:vAnchor="text" w:hAnchor="margin" w:xAlign="center" w:y="1"/>
      <w:rPr>
        <w:rStyle w:val="884"/>
      </w:rPr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separate"/>
    </w:r>
    <w:r>
      <w:rPr>
        <w:rStyle w:val="884"/>
      </w:rPr>
      <w:t xml:space="preserve">7</w: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framePr w:wrap="around" w:vAnchor="text" w:hAnchor="margin" w:xAlign="center" w:y="1"/>
      <w:rPr>
        <w:rStyle w:val="884"/>
      </w:rPr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ind w:left="720"/>
      <w:contextualSpacing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spacing w:after="57"/>
      <w:ind w:left="0" w:right="0" w:firstLine="0"/>
    </w:pPr>
  </w:style>
  <w:style w:type="paragraph" w:styleId="868">
    <w:name w:val="toc 2"/>
    <w:basedOn w:val="878"/>
    <w:next w:val="878"/>
    <w:uiPriority w:val="39"/>
    <w:unhideWhenUsed/>
    <w:pPr>
      <w:spacing w:after="57"/>
      <w:ind w:left="283" w:right="0" w:firstLine="0"/>
    </w:pPr>
  </w:style>
  <w:style w:type="paragraph" w:styleId="869">
    <w:name w:val="toc 3"/>
    <w:basedOn w:val="878"/>
    <w:next w:val="878"/>
    <w:uiPriority w:val="39"/>
    <w:unhideWhenUsed/>
    <w:pPr>
      <w:spacing w:after="57"/>
      <w:ind w:left="567" w:right="0" w:firstLine="0"/>
    </w:pPr>
  </w:style>
  <w:style w:type="paragraph" w:styleId="870">
    <w:name w:val="toc 4"/>
    <w:basedOn w:val="878"/>
    <w:next w:val="878"/>
    <w:uiPriority w:val="39"/>
    <w:unhideWhenUsed/>
    <w:pPr>
      <w:spacing w:after="57"/>
      <w:ind w:left="850" w:right="0" w:firstLine="0"/>
    </w:pPr>
  </w:style>
  <w:style w:type="paragraph" w:styleId="871">
    <w:name w:val="toc 5"/>
    <w:basedOn w:val="878"/>
    <w:next w:val="878"/>
    <w:uiPriority w:val="39"/>
    <w:unhideWhenUsed/>
    <w:pPr>
      <w:spacing w:after="57"/>
      <w:ind w:left="1134" w:right="0" w:firstLine="0"/>
    </w:pPr>
  </w:style>
  <w:style w:type="paragraph" w:styleId="872">
    <w:name w:val="toc 6"/>
    <w:basedOn w:val="878"/>
    <w:next w:val="878"/>
    <w:uiPriority w:val="39"/>
    <w:unhideWhenUsed/>
    <w:pPr>
      <w:spacing w:after="57"/>
      <w:ind w:left="1417" w:right="0" w:firstLine="0"/>
    </w:pPr>
  </w:style>
  <w:style w:type="paragraph" w:styleId="873">
    <w:name w:val="toc 7"/>
    <w:basedOn w:val="878"/>
    <w:next w:val="878"/>
    <w:uiPriority w:val="39"/>
    <w:unhideWhenUsed/>
    <w:pPr>
      <w:spacing w:after="57"/>
      <w:ind w:left="1701" w:right="0" w:firstLine="0"/>
    </w:pPr>
  </w:style>
  <w:style w:type="paragraph" w:styleId="874">
    <w:name w:val="toc 8"/>
    <w:basedOn w:val="878"/>
    <w:next w:val="878"/>
    <w:uiPriority w:val="39"/>
    <w:unhideWhenUsed/>
    <w:pPr>
      <w:spacing w:after="57"/>
      <w:ind w:left="1984" w:right="0" w:firstLine="0"/>
    </w:pPr>
  </w:style>
  <w:style w:type="paragraph" w:styleId="875">
    <w:name w:val="toc 9"/>
    <w:basedOn w:val="878"/>
    <w:next w:val="878"/>
    <w:uiPriority w:val="39"/>
    <w:unhideWhenUsed/>
    <w:pPr>
      <w:spacing w:after="57"/>
      <w:ind w:left="2268" w:right="0" w:firstLine="0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character" w:styleId="879">
    <w:name w:val="Основной шрифт абзаца"/>
    <w:next w:val="879"/>
    <w:link w:val="878"/>
    <w:semiHidden/>
  </w:style>
  <w:style w:type="table" w:styleId="880">
    <w:name w:val="Обычная таблица"/>
    <w:next w:val="880"/>
    <w:link w:val="878"/>
    <w:semiHidden/>
    <w:tblPr/>
  </w:style>
  <w:style w:type="numbering" w:styleId="881">
    <w:name w:val="Нет списка"/>
    <w:next w:val="881"/>
    <w:link w:val="878"/>
    <w:semiHidden/>
  </w:style>
  <w:style w:type="paragraph" w:styleId="882">
    <w:name w:val="Верхний колонтитул"/>
    <w:basedOn w:val="878"/>
    <w:next w:val="882"/>
    <w:link w:val="88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883">
    <w:name w:val="Нижний колонтитул"/>
    <w:basedOn w:val="878"/>
    <w:next w:val="883"/>
    <w:link w:val="878"/>
    <w:pPr>
      <w:tabs>
        <w:tab w:val="center" w:pos="4677" w:leader="none"/>
        <w:tab w:val="right" w:pos="9355" w:leader="none"/>
      </w:tabs>
    </w:pPr>
  </w:style>
  <w:style w:type="character" w:styleId="884">
    <w:name w:val="Номер страницы"/>
    <w:basedOn w:val="879"/>
    <w:next w:val="884"/>
    <w:link w:val="878"/>
  </w:style>
  <w:style w:type="character" w:styleId="885">
    <w:name w:val="Верхний колонтитул Знак"/>
    <w:next w:val="885"/>
    <w:link w:val="882"/>
    <w:rPr>
      <w:sz w:val="24"/>
      <w:szCs w:val="24"/>
    </w:rPr>
  </w:style>
  <w:style w:type="paragraph" w:styleId="886">
    <w:name w:val="ConsTitle"/>
    <w:next w:val="886"/>
    <w:link w:val="878"/>
    <w:pPr>
      <w:widowControl w:val="off"/>
      <w:ind w:right="19772"/>
    </w:pPr>
    <w:rPr>
      <w:rFonts w:ascii="Arial" w:hAnsi="Arial"/>
      <w:b/>
      <w:lang w:val="ru-RU" w:eastAsia="ru-RU" w:bidi="ar-SA"/>
    </w:rPr>
  </w:style>
  <w:style w:type="paragraph" w:styleId="887">
    <w:name w:val="rvps706640"/>
    <w:basedOn w:val="878"/>
    <w:next w:val="887"/>
    <w:link w:val="87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888">
    <w:name w:val="Текст выноски"/>
    <w:basedOn w:val="878"/>
    <w:next w:val="888"/>
    <w:link w:val="889"/>
    <w:rPr>
      <w:rFonts w:ascii="Tahoma" w:hAnsi="Tahoma"/>
      <w:sz w:val="16"/>
      <w:szCs w:val="16"/>
      <w:lang w:val="en-US" w:eastAsia="en-US"/>
    </w:rPr>
  </w:style>
  <w:style w:type="character" w:styleId="889">
    <w:name w:val="Текст выноски Знак"/>
    <w:next w:val="889"/>
    <w:link w:val="888"/>
    <w:rPr>
      <w:rFonts w:ascii="Tahoma" w:hAnsi="Tahoma" w:cs="Tahoma"/>
      <w:sz w:val="16"/>
      <w:szCs w:val="16"/>
    </w:rPr>
  </w:style>
  <w:style w:type="paragraph" w:styleId="890">
    <w:name w:val="ConsPlusNormal"/>
    <w:next w:val="890"/>
    <w:link w:val="878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891">
    <w:name w:val="Сетка таблицы"/>
    <w:basedOn w:val="880"/>
    <w:next w:val="891"/>
    <w:link w:val="878"/>
    <w:pPr>
      <w:tabs>
        <w:tab w:val="left" w:pos="720" w:leader="none"/>
      </w:tabs>
      <w:jc w:val="right"/>
    </w:pPr>
    <w:tblPr/>
  </w:style>
  <w:style w:type="character" w:styleId="892">
    <w:name w:val="Гиперссылка"/>
    <w:next w:val="892"/>
    <w:link w:val="878"/>
    <w:rPr>
      <w:color w:val="0000ff"/>
      <w:u w:val="single"/>
    </w:rPr>
  </w:style>
  <w:style w:type="paragraph" w:styleId="893">
    <w:name w:val="ConsPlusNonformat"/>
    <w:next w:val="893"/>
    <w:link w:val="878"/>
    <w:uiPriority w:val="99"/>
    <w:rPr>
      <w:rFonts w:ascii="Courier New" w:hAnsi="Courier New" w:cs="Courier New"/>
      <w:lang w:val="ru-RU" w:eastAsia="ru-RU" w:bidi="ar-SA"/>
    </w:rPr>
  </w:style>
  <w:style w:type="paragraph" w:styleId="894">
    <w:name w:val="ConsPlusTitle"/>
    <w:next w:val="894"/>
    <w:link w:val="878"/>
    <w:pPr>
      <w:widowControl w:val="off"/>
    </w:pPr>
    <w:rPr>
      <w:rFonts w:ascii="Arial" w:hAnsi="Arial" w:cs="Arial"/>
      <w:b/>
      <w:lang w:val="ru-RU" w:eastAsia="ru-RU" w:bidi="ar-SA"/>
    </w:r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  <w:style w:type="paragraph" w:styleId="898" w:customStyle="1">
    <w:name w:val="Body Text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создания эффективных условий для недопущения коррупции в Чувашской Республике, предупреждения ее проявлений в деятельности Администрации Главы Чувашской Республики, обеспечения защиты прав и законных интересов граждан и организаций, в соответстви</dc:title>
  <dc:creator>Администратор</dc:creator>
  <cp:revision>6</cp:revision>
  <dcterms:created xsi:type="dcterms:W3CDTF">2024-10-10T05:22:00Z</dcterms:created>
  <dcterms:modified xsi:type="dcterms:W3CDTF">2024-11-01T12:09:18Z</dcterms:modified>
  <cp:version>983040</cp:version>
</cp:coreProperties>
</file>