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55" w:rsidRDefault="00281132" w:rsidP="00C7345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C7253">
        <w:rPr>
          <w:rFonts w:ascii="Arial" w:hAnsi="Arial" w:cs="Arial"/>
          <w:b/>
          <w:bCs/>
          <w:sz w:val="36"/>
          <w:szCs w:val="36"/>
        </w:rPr>
        <w:t>Отчет финансового отдела администрации Порецкого района за 202</w:t>
      </w:r>
      <w:r w:rsidR="00AE141B">
        <w:rPr>
          <w:rFonts w:ascii="Arial" w:hAnsi="Arial" w:cs="Arial"/>
          <w:b/>
          <w:bCs/>
          <w:sz w:val="36"/>
          <w:szCs w:val="36"/>
        </w:rPr>
        <w:t>2</w:t>
      </w:r>
      <w:r w:rsidRPr="00EC7253">
        <w:rPr>
          <w:rFonts w:ascii="Arial" w:hAnsi="Arial" w:cs="Arial"/>
          <w:b/>
          <w:bCs/>
          <w:sz w:val="36"/>
          <w:szCs w:val="36"/>
        </w:rPr>
        <w:t xml:space="preserve"> год</w:t>
      </w:r>
    </w:p>
    <w:p w:rsidR="00642D68" w:rsidRPr="00EC7253" w:rsidRDefault="00642D68" w:rsidP="00C7345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C0A50" w:rsidRDefault="00642D68" w:rsidP="00642D68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C647F">
        <w:rPr>
          <w:rFonts w:ascii="Arial" w:hAnsi="Arial" w:cs="Arial"/>
          <w:b/>
          <w:bCs/>
          <w:sz w:val="24"/>
          <w:szCs w:val="24"/>
        </w:rPr>
        <w:t>Исполнение консолидированного бюджет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CC64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Порецкого района</w:t>
      </w:r>
    </w:p>
    <w:p w:rsidR="00642D68" w:rsidRPr="00CC0A50" w:rsidRDefault="00642D68" w:rsidP="00CC0A50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CC0A50">
        <w:rPr>
          <w:rFonts w:ascii="Arial" w:hAnsi="Arial" w:cs="Arial"/>
          <w:b/>
          <w:bCs/>
          <w:sz w:val="24"/>
          <w:szCs w:val="24"/>
        </w:rPr>
        <w:t xml:space="preserve"> за 202</w:t>
      </w:r>
      <w:r w:rsidR="00AE141B">
        <w:rPr>
          <w:rFonts w:ascii="Arial" w:hAnsi="Arial" w:cs="Arial"/>
          <w:b/>
          <w:bCs/>
          <w:sz w:val="24"/>
          <w:szCs w:val="24"/>
        </w:rPr>
        <w:t>2</w:t>
      </w:r>
      <w:r w:rsidRPr="00CC0A50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C73455" w:rsidRDefault="00C73455" w:rsidP="00BF185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73455" w:rsidRDefault="00C73455" w:rsidP="00C73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47F">
        <w:rPr>
          <w:rFonts w:ascii="Arial" w:hAnsi="Arial" w:cs="Arial"/>
          <w:bCs/>
          <w:sz w:val="24"/>
          <w:szCs w:val="24"/>
        </w:rPr>
        <w:t xml:space="preserve">Консолидированный бюджет </w:t>
      </w:r>
      <w:r w:rsidR="00281132">
        <w:rPr>
          <w:rFonts w:ascii="Arial" w:hAnsi="Arial" w:cs="Arial"/>
          <w:bCs/>
          <w:sz w:val="24"/>
          <w:szCs w:val="24"/>
        </w:rPr>
        <w:t>Порецкого района</w:t>
      </w:r>
      <w:r>
        <w:rPr>
          <w:rFonts w:ascii="Arial" w:hAnsi="Arial" w:cs="Arial"/>
          <w:sz w:val="24"/>
          <w:szCs w:val="24"/>
        </w:rPr>
        <w:t xml:space="preserve"> за 20</w:t>
      </w:r>
      <w:r w:rsidR="00281132">
        <w:rPr>
          <w:rFonts w:ascii="Arial" w:hAnsi="Arial" w:cs="Arial"/>
          <w:sz w:val="24"/>
          <w:szCs w:val="24"/>
        </w:rPr>
        <w:t>2</w:t>
      </w:r>
      <w:r w:rsidR="00AE141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исполнен в целом по доходам в объеме </w:t>
      </w:r>
      <w:r w:rsidR="00AE141B">
        <w:rPr>
          <w:rFonts w:ascii="Arial" w:hAnsi="Arial" w:cs="Arial"/>
          <w:sz w:val="24"/>
          <w:szCs w:val="24"/>
        </w:rPr>
        <w:t>496 187,4</w:t>
      </w:r>
      <w:r w:rsidR="00281132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рублей, или на </w:t>
      </w:r>
      <w:r w:rsidR="00AE141B">
        <w:rPr>
          <w:rFonts w:ascii="Arial" w:hAnsi="Arial" w:cs="Arial"/>
          <w:sz w:val="24"/>
          <w:szCs w:val="24"/>
        </w:rPr>
        <w:t>105,1</w:t>
      </w:r>
      <w:r>
        <w:rPr>
          <w:rFonts w:ascii="Arial" w:hAnsi="Arial" w:cs="Arial"/>
          <w:sz w:val="24"/>
          <w:szCs w:val="24"/>
        </w:rPr>
        <w:t>% к годовым плановым назначениям (</w:t>
      </w:r>
      <w:r w:rsidR="00AE141B">
        <w:rPr>
          <w:rFonts w:ascii="Arial" w:hAnsi="Arial" w:cs="Arial"/>
          <w:sz w:val="24"/>
          <w:szCs w:val="24"/>
        </w:rPr>
        <w:t>110,0</w:t>
      </w:r>
      <w:r>
        <w:rPr>
          <w:rFonts w:ascii="Arial" w:hAnsi="Arial" w:cs="Arial"/>
          <w:sz w:val="24"/>
          <w:szCs w:val="24"/>
        </w:rPr>
        <w:t>% к уровню 20</w:t>
      </w:r>
      <w:r w:rsidR="00F277C8">
        <w:rPr>
          <w:rFonts w:ascii="Arial" w:hAnsi="Arial" w:cs="Arial"/>
          <w:sz w:val="24"/>
          <w:szCs w:val="24"/>
        </w:rPr>
        <w:t>2</w:t>
      </w:r>
      <w:r w:rsidR="00AE14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года).</w:t>
      </w:r>
    </w:p>
    <w:p w:rsidR="00C73455" w:rsidRDefault="00C73455" w:rsidP="00C73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Собственные (налоговые и неналоговые) доходы консолидированного бюджета </w:t>
      </w:r>
      <w:r w:rsidR="00281132">
        <w:rPr>
          <w:rFonts w:ascii="Arial" w:hAnsi="Arial" w:cs="Arial"/>
          <w:sz w:val="24"/>
          <w:szCs w:val="24"/>
        </w:rPr>
        <w:t>Порецкого района</w:t>
      </w:r>
      <w:r>
        <w:rPr>
          <w:rFonts w:ascii="Arial" w:hAnsi="Arial" w:cs="Arial"/>
          <w:sz w:val="24"/>
          <w:szCs w:val="24"/>
        </w:rPr>
        <w:t xml:space="preserve"> исполнены в сумме </w:t>
      </w:r>
      <w:r w:rsidR="00AE141B">
        <w:rPr>
          <w:rFonts w:ascii="Arial" w:hAnsi="Arial" w:cs="Arial"/>
          <w:sz w:val="24"/>
          <w:szCs w:val="24"/>
        </w:rPr>
        <w:t>151 930,6</w:t>
      </w:r>
      <w:r>
        <w:rPr>
          <w:rFonts w:ascii="Arial" w:hAnsi="Arial" w:cs="Arial"/>
          <w:sz w:val="24"/>
          <w:szCs w:val="24"/>
        </w:rPr>
        <w:t xml:space="preserve"> </w:t>
      </w:r>
      <w:r w:rsidR="00281132">
        <w:rPr>
          <w:rFonts w:ascii="Arial" w:hAnsi="Arial" w:cs="Arial"/>
          <w:sz w:val="24"/>
          <w:szCs w:val="24"/>
        </w:rPr>
        <w:t xml:space="preserve">тыс. рублей, </w:t>
      </w:r>
      <w:r w:rsidR="00AE141B">
        <w:rPr>
          <w:rFonts w:ascii="Arial" w:hAnsi="Arial" w:cs="Arial"/>
          <w:sz w:val="24"/>
          <w:szCs w:val="24"/>
        </w:rPr>
        <w:t>123,1</w:t>
      </w:r>
      <w:r>
        <w:rPr>
          <w:rFonts w:ascii="Arial" w:hAnsi="Arial" w:cs="Arial"/>
          <w:sz w:val="24"/>
          <w:szCs w:val="24"/>
        </w:rPr>
        <w:t>% к годовым плановым назначениям (</w:t>
      </w:r>
      <w:r w:rsidR="00AE141B">
        <w:rPr>
          <w:rFonts w:ascii="Arial" w:hAnsi="Arial" w:cs="Arial"/>
          <w:sz w:val="24"/>
          <w:szCs w:val="24"/>
        </w:rPr>
        <w:t>133,5</w:t>
      </w:r>
      <w:r w:rsidRPr="00B84717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к 20</w:t>
      </w:r>
      <w:r w:rsidR="00F277C8">
        <w:rPr>
          <w:rFonts w:ascii="Arial" w:hAnsi="Arial" w:cs="Arial"/>
          <w:sz w:val="24"/>
          <w:szCs w:val="24"/>
        </w:rPr>
        <w:t>2</w:t>
      </w:r>
      <w:r w:rsidR="00AE14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году).</w:t>
      </w:r>
    </w:p>
    <w:p w:rsidR="00C73455" w:rsidRPr="00885476" w:rsidRDefault="00C73455" w:rsidP="00C73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17A8">
        <w:rPr>
          <w:rFonts w:ascii="Arial" w:hAnsi="Arial" w:cs="Arial"/>
          <w:sz w:val="24"/>
          <w:szCs w:val="24"/>
        </w:rPr>
        <w:t xml:space="preserve">В общем объеме собственных доходов консолидированного бюджета </w:t>
      </w:r>
      <w:r w:rsidR="00281132" w:rsidRPr="008217A8">
        <w:rPr>
          <w:rFonts w:ascii="Arial" w:hAnsi="Arial" w:cs="Arial"/>
          <w:sz w:val="24"/>
          <w:szCs w:val="24"/>
        </w:rPr>
        <w:t>Порецкого района</w:t>
      </w:r>
      <w:r w:rsidRPr="008217A8">
        <w:rPr>
          <w:rFonts w:ascii="Arial" w:hAnsi="Arial" w:cs="Arial"/>
          <w:sz w:val="24"/>
          <w:szCs w:val="24"/>
        </w:rPr>
        <w:t xml:space="preserve"> </w:t>
      </w:r>
      <w:r w:rsidR="00AE141B">
        <w:rPr>
          <w:rFonts w:ascii="Arial" w:hAnsi="Arial" w:cs="Arial"/>
          <w:sz w:val="24"/>
          <w:szCs w:val="24"/>
        </w:rPr>
        <w:t>87,5</w:t>
      </w:r>
      <w:r w:rsidRPr="00B84717">
        <w:rPr>
          <w:rFonts w:ascii="Arial" w:hAnsi="Arial" w:cs="Arial"/>
          <w:sz w:val="24"/>
          <w:szCs w:val="24"/>
        </w:rPr>
        <w:t xml:space="preserve">%, или </w:t>
      </w:r>
      <w:bookmarkStart w:id="0" w:name="_GoBack"/>
      <w:bookmarkEnd w:id="0"/>
      <w:r w:rsidR="00AE141B">
        <w:rPr>
          <w:rFonts w:ascii="Arial" w:hAnsi="Arial" w:cs="Arial"/>
          <w:sz w:val="24"/>
          <w:szCs w:val="24"/>
        </w:rPr>
        <w:t>132 985,3</w:t>
      </w:r>
      <w:r w:rsidRPr="00B84717">
        <w:rPr>
          <w:rFonts w:ascii="Arial" w:hAnsi="Arial" w:cs="Arial"/>
          <w:sz w:val="24"/>
          <w:szCs w:val="24"/>
        </w:rPr>
        <w:t xml:space="preserve"> </w:t>
      </w:r>
      <w:r w:rsidR="00281132" w:rsidRPr="00B84717">
        <w:rPr>
          <w:rFonts w:ascii="Arial" w:hAnsi="Arial" w:cs="Arial"/>
          <w:sz w:val="24"/>
          <w:szCs w:val="24"/>
        </w:rPr>
        <w:t>тыс</w:t>
      </w:r>
      <w:r w:rsidRPr="00B84717">
        <w:rPr>
          <w:rFonts w:ascii="Arial" w:hAnsi="Arial" w:cs="Arial"/>
          <w:sz w:val="24"/>
          <w:szCs w:val="24"/>
        </w:rPr>
        <w:t xml:space="preserve">. рублей приходится на налоговые доходы, соответственно </w:t>
      </w:r>
      <w:r w:rsidR="00AE141B">
        <w:rPr>
          <w:rFonts w:ascii="Arial" w:hAnsi="Arial" w:cs="Arial"/>
          <w:sz w:val="24"/>
          <w:szCs w:val="24"/>
        </w:rPr>
        <w:t>12,5</w:t>
      </w:r>
      <w:r w:rsidRPr="00106A22">
        <w:rPr>
          <w:rFonts w:ascii="Arial" w:hAnsi="Arial" w:cs="Arial"/>
          <w:sz w:val="24"/>
          <w:szCs w:val="24"/>
        </w:rPr>
        <w:t xml:space="preserve">%, или </w:t>
      </w:r>
      <w:r w:rsidR="00AE141B">
        <w:rPr>
          <w:rFonts w:ascii="Arial" w:hAnsi="Arial" w:cs="Arial"/>
          <w:sz w:val="24"/>
          <w:szCs w:val="24"/>
        </w:rPr>
        <w:t>18 945,3</w:t>
      </w:r>
      <w:r w:rsidRPr="00106A22">
        <w:rPr>
          <w:rFonts w:ascii="Arial" w:hAnsi="Arial" w:cs="Arial"/>
          <w:sz w:val="24"/>
          <w:szCs w:val="24"/>
        </w:rPr>
        <w:t xml:space="preserve"> </w:t>
      </w:r>
      <w:r w:rsidR="00281132" w:rsidRPr="00106A22">
        <w:rPr>
          <w:rFonts w:ascii="Arial" w:hAnsi="Arial" w:cs="Arial"/>
          <w:sz w:val="24"/>
          <w:szCs w:val="24"/>
        </w:rPr>
        <w:t>тыс</w:t>
      </w:r>
      <w:r w:rsidRPr="00106A22">
        <w:rPr>
          <w:rFonts w:ascii="Arial" w:hAnsi="Arial" w:cs="Arial"/>
          <w:sz w:val="24"/>
          <w:szCs w:val="24"/>
        </w:rPr>
        <w:t>. рублей – на неналоговые доходы.</w:t>
      </w:r>
    </w:p>
    <w:p w:rsidR="00023D8E" w:rsidRDefault="00023D8E" w:rsidP="00C73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D8E">
        <w:rPr>
          <w:rFonts w:ascii="Arial" w:hAnsi="Arial" w:cs="Arial"/>
          <w:sz w:val="24"/>
          <w:szCs w:val="24"/>
        </w:rPr>
        <w:t xml:space="preserve">Из числа налоговых доходов наибольший удельный </w:t>
      </w:r>
      <w:r>
        <w:rPr>
          <w:rFonts w:ascii="Arial" w:hAnsi="Arial" w:cs="Arial"/>
          <w:sz w:val="24"/>
          <w:szCs w:val="24"/>
        </w:rPr>
        <w:t xml:space="preserve">вес занимают налог на доходы физических лиц – </w:t>
      </w:r>
      <w:r w:rsidR="00AE141B">
        <w:rPr>
          <w:rFonts w:ascii="Arial" w:hAnsi="Arial" w:cs="Arial"/>
          <w:sz w:val="24"/>
          <w:szCs w:val="24"/>
        </w:rPr>
        <w:t>58 508,3</w:t>
      </w:r>
      <w:r>
        <w:rPr>
          <w:rFonts w:ascii="Arial" w:hAnsi="Arial" w:cs="Arial"/>
          <w:sz w:val="24"/>
          <w:szCs w:val="24"/>
        </w:rPr>
        <w:t xml:space="preserve"> тыс. рублей</w:t>
      </w:r>
      <w:r w:rsidR="002773D8">
        <w:rPr>
          <w:rFonts w:ascii="Arial" w:hAnsi="Arial" w:cs="Arial"/>
          <w:sz w:val="24"/>
          <w:szCs w:val="24"/>
        </w:rPr>
        <w:t xml:space="preserve">, </w:t>
      </w:r>
      <w:r w:rsidR="00BC5740">
        <w:rPr>
          <w:rFonts w:ascii="Arial" w:hAnsi="Arial" w:cs="Arial"/>
          <w:sz w:val="24"/>
          <w:szCs w:val="24"/>
        </w:rPr>
        <w:t xml:space="preserve">налог на добычу общераспространенных полезных ископаемых – </w:t>
      </w:r>
      <w:r w:rsidR="00AE141B">
        <w:rPr>
          <w:rFonts w:ascii="Arial" w:hAnsi="Arial" w:cs="Arial"/>
          <w:sz w:val="24"/>
          <w:szCs w:val="24"/>
        </w:rPr>
        <w:t>51 853,4</w:t>
      </w:r>
      <w:r w:rsidR="00BC5740">
        <w:rPr>
          <w:rFonts w:ascii="Arial" w:hAnsi="Arial" w:cs="Arial"/>
          <w:sz w:val="24"/>
          <w:szCs w:val="24"/>
        </w:rPr>
        <w:t xml:space="preserve"> тыс. рублей, </w:t>
      </w:r>
      <w:r w:rsidR="002773D8">
        <w:rPr>
          <w:rFonts w:ascii="Arial" w:hAnsi="Arial" w:cs="Arial"/>
          <w:sz w:val="24"/>
          <w:szCs w:val="24"/>
        </w:rPr>
        <w:t xml:space="preserve">акцизы – </w:t>
      </w:r>
      <w:r w:rsidR="00AE141B">
        <w:rPr>
          <w:rFonts w:ascii="Arial" w:hAnsi="Arial" w:cs="Arial"/>
          <w:sz w:val="24"/>
          <w:szCs w:val="24"/>
        </w:rPr>
        <w:t>7995,8</w:t>
      </w:r>
      <w:r w:rsidR="002773D8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023D8E" w:rsidRPr="00023D8E" w:rsidRDefault="00023D8E" w:rsidP="00C73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отчетный период обеспечено поступление доходов от использования имущества, находящегося в муниципальной собственности в сумме – </w:t>
      </w:r>
      <w:r w:rsidR="00AE141B">
        <w:rPr>
          <w:rFonts w:ascii="Arial" w:hAnsi="Arial" w:cs="Arial"/>
          <w:sz w:val="24"/>
          <w:szCs w:val="24"/>
        </w:rPr>
        <w:t>9 533,8</w:t>
      </w:r>
      <w:r>
        <w:rPr>
          <w:rFonts w:ascii="Arial" w:hAnsi="Arial" w:cs="Arial"/>
          <w:sz w:val="24"/>
          <w:szCs w:val="24"/>
        </w:rPr>
        <w:t xml:space="preserve"> тыс. рублей (</w:t>
      </w:r>
      <w:r w:rsidR="00AE141B">
        <w:rPr>
          <w:rFonts w:ascii="Arial" w:hAnsi="Arial" w:cs="Arial"/>
          <w:sz w:val="24"/>
          <w:szCs w:val="24"/>
        </w:rPr>
        <w:t>119,1</w:t>
      </w:r>
      <w:r>
        <w:rPr>
          <w:rFonts w:ascii="Arial" w:hAnsi="Arial" w:cs="Arial"/>
          <w:sz w:val="24"/>
          <w:szCs w:val="24"/>
        </w:rPr>
        <w:t xml:space="preserve">% к плановым назначениям), доходов от реализации имущества в сумме </w:t>
      </w:r>
      <w:r w:rsidR="00AE141B">
        <w:rPr>
          <w:rFonts w:ascii="Arial" w:hAnsi="Arial" w:cs="Arial"/>
          <w:sz w:val="24"/>
          <w:szCs w:val="24"/>
        </w:rPr>
        <w:t>2 568,6</w:t>
      </w:r>
      <w:r w:rsidR="00756C4E">
        <w:rPr>
          <w:rFonts w:ascii="Arial" w:hAnsi="Arial" w:cs="Arial"/>
          <w:sz w:val="24"/>
          <w:szCs w:val="24"/>
        </w:rPr>
        <w:t xml:space="preserve"> </w:t>
      </w:r>
      <w:r w:rsidR="00AE141B">
        <w:rPr>
          <w:rFonts w:ascii="Arial" w:hAnsi="Arial" w:cs="Arial"/>
          <w:sz w:val="24"/>
          <w:szCs w:val="24"/>
        </w:rPr>
        <w:t xml:space="preserve">тыс.руб. </w:t>
      </w:r>
      <w:r w:rsidR="00756C4E">
        <w:rPr>
          <w:rFonts w:ascii="Arial" w:hAnsi="Arial" w:cs="Arial"/>
          <w:sz w:val="24"/>
          <w:szCs w:val="24"/>
        </w:rPr>
        <w:t>(</w:t>
      </w:r>
      <w:r w:rsidR="00AE141B">
        <w:rPr>
          <w:rFonts w:ascii="Arial" w:hAnsi="Arial" w:cs="Arial"/>
          <w:sz w:val="24"/>
          <w:szCs w:val="24"/>
        </w:rPr>
        <w:t>более чем в 8 раз по отношению к 2021 году</w:t>
      </w:r>
      <w:r w:rsidR="00756C4E">
        <w:rPr>
          <w:rFonts w:ascii="Arial" w:hAnsi="Arial" w:cs="Arial"/>
          <w:sz w:val="24"/>
          <w:szCs w:val="24"/>
        </w:rPr>
        <w:t>).</w:t>
      </w:r>
    </w:p>
    <w:p w:rsidR="00C73455" w:rsidRPr="00106A22" w:rsidRDefault="00281132" w:rsidP="00C73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A22">
        <w:rPr>
          <w:rFonts w:ascii="Arial" w:hAnsi="Arial" w:cs="Arial"/>
          <w:sz w:val="24"/>
          <w:szCs w:val="24"/>
        </w:rPr>
        <w:t>Б</w:t>
      </w:r>
      <w:r w:rsidR="00C73455" w:rsidRPr="00106A22">
        <w:rPr>
          <w:rFonts w:ascii="Arial" w:hAnsi="Arial" w:cs="Arial"/>
          <w:sz w:val="24"/>
          <w:szCs w:val="24"/>
        </w:rPr>
        <w:t xml:space="preserve">юджет </w:t>
      </w:r>
      <w:r w:rsidRPr="00106A22">
        <w:rPr>
          <w:rFonts w:ascii="Arial" w:hAnsi="Arial" w:cs="Arial"/>
          <w:sz w:val="24"/>
          <w:szCs w:val="24"/>
        </w:rPr>
        <w:t>Порецкого района</w:t>
      </w:r>
      <w:r w:rsidR="00C73455" w:rsidRPr="00106A22">
        <w:rPr>
          <w:rFonts w:ascii="Arial" w:hAnsi="Arial" w:cs="Arial"/>
          <w:sz w:val="24"/>
          <w:szCs w:val="24"/>
        </w:rPr>
        <w:t xml:space="preserve"> за </w:t>
      </w:r>
      <w:r w:rsidRPr="00106A22">
        <w:rPr>
          <w:rFonts w:ascii="Arial" w:hAnsi="Arial" w:cs="Arial"/>
          <w:sz w:val="24"/>
          <w:szCs w:val="24"/>
        </w:rPr>
        <w:t>202</w:t>
      </w:r>
      <w:r w:rsidR="00AE141B">
        <w:rPr>
          <w:rFonts w:ascii="Arial" w:hAnsi="Arial" w:cs="Arial"/>
          <w:sz w:val="24"/>
          <w:szCs w:val="24"/>
        </w:rPr>
        <w:t>2</w:t>
      </w:r>
      <w:r w:rsidR="00C73455" w:rsidRPr="00106A22">
        <w:rPr>
          <w:rFonts w:ascii="Arial" w:hAnsi="Arial" w:cs="Arial"/>
          <w:sz w:val="24"/>
          <w:szCs w:val="24"/>
        </w:rPr>
        <w:t xml:space="preserve"> год исполнен в целом по доходам в объеме </w:t>
      </w:r>
      <w:r w:rsidR="00AE141B">
        <w:rPr>
          <w:rFonts w:ascii="Arial" w:hAnsi="Arial" w:cs="Arial"/>
          <w:sz w:val="24"/>
          <w:szCs w:val="24"/>
        </w:rPr>
        <w:t>477 223,8</w:t>
      </w:r>
      <w:r w:rsidR="00C73455" w:rsidRPr="00106A22">
        <w:rPr>
          <w:rFonts w:ascii="Arial" w:hAnsi="Arial" w:cs="Arial"/>
          <w:sz w:val="24"/>
          <w:szCs w:val="24"/>
        </w:rPr>
        <w:t xml:space="preserve"> </w:t>
      </w:r>
      <w:r w:rsidR="00F277C8">
        <w:rPr>
          <w:rFonts w:ascii="Arial" w:hAnsi="Arial" w:cs="Arial"/>
          <w:sz w:val="24"/>
          <w:szCs w:val="24"/>
        </w:rPr>
        <w:t>тыс</w:t>
      </w:r>
      <w:r w:rsidR="00C73455" w:rsidRPr="00106A22">
        <w:rPr>
          <w:rFonts w:ascii="Arial" w:hAnsi="Arial" w:cs="Arial"/>
          <w:sz w:val="24"/>
          <w:szCs w:val="24"/>
        </w:rPr>
        <w:t xml:space="preserve">. рублей, или на </w:t>
      </w:r>
      <w:r w:rsidR="00AE141B">
        <w:rPr>
          <w:rFonts w:ascii="Arial" w:hAnsi="Arial" w:cs="Arial"/>
          <w:sz w:val="24"/>
          <w:szCs w:val="24"/>
        </w:rPr>
        <w:t>105,0</w:t>
      </w:r>
      <w:r w:rsidR="00C73455" w:rsidRPr="00106A22">
        <w:rPr>
          <w:rFonts w:ascii="Arial" w:hAnsi="Arial" w:cs="Arial"/>
          <w:sz w:val="24"/>
          <w:szCs w:val="24"/>
        </w:rPr>
        <w:t xml:space="preserve">% </w:t>
      </w:r>
      <w:r w:rsidR="00106A22" w:rsidRPr="00106A22">
        <w:rPr>
          <w:rFonts w:ascii="Arial" w:hAnsi="Arial" w:cs="Arial"/>
          <w:sz w:val="24"/>
          <w:szCs w:val="24"/>
        </w:rPr>
        <w:t>к годовым плановым назначениям.</w:t>
      </w:r>
    </w:p>
    <w:p w:rsidR="00073693" w:rsidRDefault="00C73455" w:rsidP="00756C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6A22">
        <w:rPr>
          <w:rFonts w:ascii="Arial" w:hAnsi="Arial" w:cs="Arial"/>
          <w:sz w:val="24"/>
          <w:szCs w:val="24"/>
        </w:rPr>
        <w:t>Общий объем безвозмездных поступлений в 20</w:t>
      </w:r>
      <w:r w:rsidR="00BC169E" w:rsidRPr="00106A22">
        <w:rPr>
          <w:rFonts w:ascii="Arial" w:hAnsi="Arial" w:cs="Arial"/>
          <w:sz w:val="24"/>
          <w:szCs w:val="24"/>
        </w:rPr>
        <w:t>2</w:t>
      </w:r>
      <w:r w:rsidR="00AE141B">
        <w:rPr>
          <w:rFonts w:ascii="Arial" w:hAnsi="Arial" w:cs="Arial"/>
          <w:sz w:val="24"/>
          <w:szCs w:val="24"/>
        </w:rPr>
        <w:t>2</w:t>
      </w:r>
      <w:r w:rsidRPr="00106A22">
        <w:rPr>
          <w:rFonts w:ascii="Arial" w:hAnsi="Arial" w:cs="Arial"/>
          <w:sz w:val="24"/>
          <w:szCs w:val="24"/>
        </w:rPr>
        <w:t xml:space="preserve"> году составил </w:t>
      </w:r>
      <w:r w:rsidR="00AE141B">
        <w:rPr>
          <w:rFonts w:ascii="Arial" w:hAnsi="Arial" w:cs="Arial"/>
          <w:sz w:val="24"/>
          <w:szCs w:val="24"/>
        </w:rPr>
        <w:t>344 256,8</w:t>
      </w:r>
      <w:r>
        <w:rPr>
          <w:rFonts w:ascii="Arial" w:hAnsi="Arial" w:cs="Arial"/>
          <w:sz w:val="24"/>
          <w:szCs w:val="24"/>
        </w:rPr>
        <w:t xml:space="preserve"> </w:t>
      </w:r>
      <w:r w:rsidR="00BC169E">
        <w:rPr>
          <w:rFonts w:ascii="Arial" w:hAnsi="Arial" w:cs="Arial"/>
          <w:sz w:val="24"/>
          <w:szCs w:val="24"/>
        </w:rPr>
        <w:t>тыс</w:t>
      </w:r>
      <w:r>
        <w:rPr>
          <w:rFonts w:ascii="Arial" w:hAnsi="Arial" w:cs="Arial"/>
          <w:sz w:val="24"/>
          <w:szCs w:val="24"/>
        </w:rPr>
        <w:t xml:space="preserve">. рублей, что </w:t>
      </w:r>
      <w:r w:rsidR="00AE141B">
        <w:rPr>
          <w:rFonts w:ascii="Arial" w:hAnsi="Arial" w:cs="Arial"/>
          <w:sz w:val="24"/>
          <w:szCs w:val="24"/>
        </w:rPr>
        <w:t>больше</w:t>
      </w:r>
      <w:r>
        <w:rPr>
          <w:rFonts w:ascii="Arial" w:hAnsi="Arial" w:cs="Arial"/>
          <w:sz w:val="24"/>
          <w:szCs w:val="24"/>
        </w:rPr>
        <w:t xml:space="preserve"> уровня 20</w:t>
      </w:r>
      <w:r w:rsidR="00382BF6">
        <w:rPr>
          <w:rFonts w:ascii="Arial" w:hAnsi="Arial" w:cs="Arial"/>
          <w:sz w:val="24"/>
          <w:szCs w:val="24"/>
        </w:rPr>
        <w:t>2</w:t>
      </w:r>
      <w:r w:rsidR="00AE14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на </w:t>
      </w:r>
      <w:r w:rsidR="005C316A">
        <w:rPr>
          <w:rFonts w:ascii="Arial" w:hAnsi="Arial" w:cs="Arial"/>
          <w:sz w:val="24"/>
          <w:szCs w:val="24"/>
        </w:rPr>
        <w:t>7 084,7</w:t>
      </w:r>
      <w:r>
        <w:rPr>
          <w:rFonts w:ascii="Arial" w:hAnsi="Arial" w:cs="Arial"/>
          <w:sz w:val="24"/>
          <w:szCs w:val="24"/>
        </w:rPr>
        <w:t xml:space="preserve"> </w:t>
      </w:r>
      <w:r w:rsidR="00BC169E">
        <w:rPr>
          <w:rFonts w:ascii="Arial" w:hAnsi="Arial" w:cs="Arial"/>
          <w:sz w:val="24"/>
          <w:szCs w:val="24"/>
        </w:rPr>
        <w:t>тыс</w:t>
      </w:r>
      <w:r>
        <w:rPr>
          <w:rFonts w:ascii="Arial" w:hAnsi="Arial" w:cs="Arial"/>
          <w:sz w:val="24"/>
          <w:szCs w:val="24"/>
        </w:rPr>
        <w:t xml:space="preserve">. рублей, или на </w:t>
      </w:r>
      <w:r w:rsidR="00AE141B">
        <w:rPr>
          <w:rFonts w:ascii="Arial" w:hAnsi="Arial" w:cs="Arial"/>
          <w:sz w:val="24"/>
          <w:szCs w:val="24"/>
        </w:rPr>
        <w:t>2</w:t>
      </w:r>
      <w:r w:rsidR="00382BF6">
        <w:rPr>
          <w:rFonts w:ascii="Arial" w:hAnsi="Arial" w:cs="Arial"/>
          <w:sz w:val="24"/>
          <w:szCs w:val="24"/>
        </w:rPr>
        <w:t>,1</w:t>
      </w:r>
      <w:r w:rsidRPr="003445C0">
        <w:rPr>
          <w:rFonts w:ascii="Arial" w:hAnsi="Arial" w:cs="Arial"/>
          <w:sz w:val="24"/>
          <w:szCs w:val="24"/>
        </w:rPr>
        <w:t>%.</w:t>
      </w:r>
    </w:p>
    <w:p w:rsidR="00DC108F" w:rsidRDefault="00DC108F" w:rsidP="00756C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108F" w:rsidRPr="00DC108F" w:rsidRDefault="005C316A" w:rsidP="00756C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08F">
        <w:rPr>
          <w:rFonts w:ascii="Arial" w:hAnsi="Arial" w:cs="Arial"/>
          <w:sz w:val="24"/>
          <w:szCs w:val="24"/>
        </w:rPr>
        <w:object w:dxaOrig="4537" w:dyaOrig="3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5pt;height:175.5pt" o:ole="">
            <v:imagedata r:id="rId5" o:title=""/>
          </v:shape>
          <o:OLEObject Type="Embed" ProgID="PowerPoint.Slide.12" ShapeID="_x0000_i1025" DrawAspect="Content" ObjectID="_1740468468" r:id="rId6"/>
        </w:object>
      </w:r>
    </w:p>
    <w:p w:rsidR="00E05D4F" w:rsidRPr="00EC12D6" w:rsidRDefault="002B517F" w:rsidP="00C73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</w:t>
      </w:r>
      <w:r w:rsidR="00C73455" w:rsidRPr="00EC12D6">
        <w:rPr>
          <w:rFonts w:ascii="Arial" w:hAnsi="Arial" w:cs="Arial"/>
          <w:sz w:val="24"/>
          <w:szCs w:val="24"/>
        </w:rPr>
        <w:t xml:space="preserve">сходы консолидированного бюджета </w:t>
      </w:r>
      <w:r w:rsidR="00E05D4F" w:rsidRPr="00EC12D6">
        <w:rPr>
          <w:rFonts w:ascii="Arial" w:hAnsi="Arial" w:cs="Arial"/>
          <w:sz w:val="24"/>
          <w:szCs w:val="24"/>
        </w:rPr>
        <w:t>Порецкого района</w:t>
      </w:r>
      <w:r w:rsidR="00C73455" w:rsidRPr="00EC12D6">
        <w:rPr>
          <w:rFonts w:ascii="Arial" w:hAnsi="Arial" w:cs="Arial"/>
          <w:sz w:val="24"/>
          <w:szCs w:val="24"/>
        </w:rPr>
        <w:t xml:space="preserve"> в 20</w:t>
      </w:r>
      <w:r w:rsidR="00E05D4F" w:rsidRPr="00EC12D6">
        <w:rPr>
          <w:rFonts w:ascii="Arial" w:hAnsi="Arial" w:cs="Arial"/>
          <w:sz w:val="24"/>
          <w:szCs w:val="24"/>
        </w:rPr>
        <w:t>2</w:t>
      </w:r>
      <w:r w:rsidR="005C316A">
        <w:rPr>
          <w:rFonts w:ascii="Arial" w:hAnsi="Arial" w:cs="Arial"/>
          <w:sz w:val="24"/>
          <w:szCs w:val="24"/>
        </w:rPr>
        <w:t>2</w:t>
      </w:r>
      <w:r w:rsidR="00C73455" w:rsidRPr="00EC12D6">
        <w:rPr>
          <w:rFonts w:ascii="Arial" w:hAnsi="Arial" w:cs="Arial"/>
          <w:sz w:val="24"/>
          <w:szCs w:val="24"/>
        </w:rPr>
        <w:t xml:space="preserve"> году составили </w:t>
      </w:r>
      <w:r w:rsidR="005C316A">
        <w:rPr>
          <w:rFonts w:ascii="Arial" w:hAnsi="Arial" w:cs="Arial"/>
          <w:sz w:val="24"/>
          <w:szCs w:val="24"/>
        </w:rPr>
        <w:t>454395,7</w:t>
      </w:r>
      <w:r w:rsidR="00C73455" w:rsidRPr="00EC12D6">
        <w:rPr>
          <w:rFonts w:ascii="Arial" w:hAnsi="Arial" w:cs="Arial"/>
          <w:sz w:val="24"/>
          <w:szCs w:val="24"/>
        </w:rPr>
        <w:t xml:space="preserve"> </w:t>
      </w:r>
      <w:r w:rsidR="00E05D4F" w:rsidRPr="00EC12D6">
        <w:rPr>
          <w:rFonts w:ascii="Arial" w:hAnsi="Arial" w:cs="Arial"/>
          <w:sz w:val="24"/>
          <w:szCs w:val="24"/>
        </w:rPr>
        <w:t>тыс</w:t>
      </w:r>
      <w:r w:rsidR="00C73455" w:rsidRPr="00EC12D6">
        <w:rPr>
          <w:rFonts w:ascii="Arial" w:hAnsi="Arial" w:cs="Arial"/>
          <w:sz w:val="24"/>
          <w:szCs w:val="24"/>
        </w:rPr>
        <w:t xml:space="preserve">. рублей, или </w:t>
      </w:r>
      <w:r w:rsidR="005C316A">
        <w:rPr>
          <w:rFonts w:ascii="Arial" w:hAnsi="Arial" w:cs="Arial"/>
          <w:sz w:val="24"/>
          <w:szCs w:val="24"/>
        </w:rPr>
        <w:t>93,2</w:t>
      </w:r>
      <w:r w:rsidR="00C73455" w:rsidRPr="00EC12D6">
        <w:rPr>
          <w:rFonts w:ascii="Arial" w:hAnsi="Arial" w:cs="Arial"/>
          <w:sz w:val="24"/>
          <w:szCs w:val="24"/>
        </w:rPr>
        <w:t>% к годовым плановым назначениям (</w:t>
      </w:r>
      <w:r w:rsidR="005C316A">
        <w:rPr>
          <w:rFonts w:ascii="Arial" w:hAnsi="Arial" w:cs="Arial"/>
          <w:sz w:val="24"/>
          <w:szCs w:val="24"/>
        </w:rPr>
        <w:t>102,5</w:t>
      </w:r>
      <w:r w:rsidR="00C73455" w:rsidRPr="00EC12D6">
        <w:rPr>
          <w:rFonts w:ascii="Arial" w:hAnsi="Arial" w:cs="Arial"/>
          <w:sz w:val="24"/>
          <w:szCs w:val="24"/>
        </w:rPr>
        <w:t>% к уровню 20</w:t>
      </w:r>
      <w:r w:rsidR="00EC12D6" w:rsidRPr="00EC12D6">
        <w:rPr>
          <w:rFonts w:ascii="Arial" w:hAnsi="Arial" w:cs="Arial"/>
          <w:sz w:val="24"/>
          <w:szCs w:val="24"/>
        </w:rPr>
        <w:t>2</w:t>
      </w:r>
      <w:r w:rsidR="005C316A">
        <w:rPr>
          <w:rFonts w:ascii="Arial" w:hAnsi="Arial" w:cs="Arial"/>
          <w:sz w:val="24"/>
          <w:szCs w:val="24"/>
        </w:rPr>
        <w:t>1</w:t>
      </w:r>
      <w:r w:rsidR="00C73455" w:rsidRPr="00EC12D6">
        <w:rPr>
          <w:rFonts w:ascii="Arial" w:hAnsi="Arial" w:cs="Arial"/>
          <w:sz w:val="24"/>
          <w:szCs w:val="24"/>
        </w:rPr>
        <w:t xml:space="preserve"> года)</w:t>
      </w:r>
      <w:r w:rsidR="00E05D4F" w:rsidRPr="00EC12D6">
        <w:rPr>
          <w:rFonts w:ascii="Arial" w:hAnsi="Arial" w:cs="Arial"/>
          <w:sz w:val="24"/>
          <w:szCs w:val="24"/>
        </w:rPr>
        <w:t>.</w:t>
      </w:r>
    </w:p>
    <w:p w:rsidR="00073693" w:rsidRDefault="00C73455" w:rsidP="000C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D6">
        <w:rPr>
          <w:rFonts w:ascii="Arial" w:hAnsi="Arial" w:cs="Arial"/>
          <w:sz w:val="24"/>
          <w:szCs w:val="24"/>
        </w:rPr>
        <w:t xml:space="preserve">В разрезе расходы консолидированного бюджета </w:t>
      </w:r>
      <w:r w:rsidR="00E05D4F" w:rsidRPr="00EC12D6">
        <w:rPr>
          <w:rFonts w:ascii="Arial" w:hAnsi="Arial" w:cs="Arial"/>
          <w:sz w:val="24"/>
          <w:szCs w:val="24"/>
        </w:rPr>
        <w:t>Порецкого района</w:t>
      </w:r>
      <w:r w:rsidRPr="00EC12D6">
        <w:rPr>
          <w:rFonts w:ascii="Arial" w:hAnsi="Arial" w:cs="Arial"/>
          <w:sz w:val="24"/>
          <w:szCs w:val="24"/>
        </w:rPr>
        <w:t xml:space="preserve"> в 20</w:t>
      </w:r>
      <w:r w:rsidR="00E05D4F" w:rsidRPr="00EC12D6">
        <w:rPr>
          <w:rFonts w:ascii="Arial" w:hAnsi="Arial" w:cs="Arial"/>
          <w:sz w:val="24"/>
          <w:szCs w:val="24"/>
        </w:rPr>
        <w:t>2</w:t>
      </w:r>
      <w:r w:rsidR="00B255D8">
        <w:rPr>
          <w:rFonts w:ascii="Arial" w:hAnsi="Arial" w:cs="Arial"/>
          <w:sz w:val="24"/>
          <w:szCs w:val="24"/>
        </w:rPr>
        <w:t>2</w:t>
      </w:r>
      <w:r w:rsidR="00E05D4F" w:rsidRPr="00EC12D6">
        <w:rPr>
          <w:rFonts w:ascii="Arial" w:hAnsi="Arial" w:cs="Arial"/>
          <w:sz w:val="24"/>
          <w:szCs w:val="24"/>
        </w:rPr>
        <w:t xml:space="preserve"> году </w:t>
      </w:r>
      <w:r w:rsidRPr="00EC12D6">
        <w:rPr>
          <w:rFonts w:ascii="Arial" w:hAnsi="Arial" w:cs="Arial"/>
          <w:sz w:val="24"/>
          <w:szCs w:val="24"/>
        </w:rPr>
        <w:t xml:space="preserve">на образование – </w:t>
      </w:r>
      <w:r w:rsidR="00CB0145">
        <w:rPr>
          <w:rFonts w:ascii="Arial" w:hAnsi="Arial" w:cs="Arial"/>
          <w:sz w:val="24"/>
          <w:szCs w:val="24"/>
        </w:rPr>
        <w:t>156 806,5</w:t>
      </w:r>
      <w:r w:rsidRPr="00EC12D6">
        <w:rPr>
          <w:rFonts w:ascii="Arial" w:hAnsi="Arial" w:cs="Arial"/>
          <w:sz w:val="24"/>
          <w:szCs w:val="24"/>
        </w:rPr>
        <w:t xml:space="preserve"> </w:t>
      </w:r>
      <w:r w:rsidR="00E05D4F" w:rsidRPr="00EC12D6">
        <w:rPr>
          <w:rFonts w:ascii="Arial" w:hAnsi="Arial" w:cs="Arial"/>
          <w:sz w:val="24"/>
          <w:szCs w:val="24"/>
        </w:rPr>
        <w:t>тыс</w:t>
      </w:r>
      <w:r w:rsidRPr="00EC12D6">
        <w:rPr>
          <w:rFonts w:ascii="Arial" w:hAnsi="Arial" w:cs="Arial"/>
          <w:sz w:val="24"/>
          <w:szCs w:val="24"/>
        </w:rPr>
        <w:t>. рублей (</w:t>
      </w:r>
      <w:r w:rsidR="00CB0145">
        <w:rPr>
          <w:rFonts w:ascii="Arial" w:hAnsi="Arial" w:cs="Arial"/>
          <w:sz w:val="24"/>
          <w:szCs w:val="24"/>
        </w:rPr>
        <w:t>81,3</w:t>
      </w:r>
      <w:r w:rsidRPr="00EC12D6">
        <w:rPr>
          <w:rFonts w:ascii="Arial" w:hAnsi="Arial" w:cs="Arial"/>
          <w:sz w:val="24"/>
          <w:szCs w:val="24"/>
        </w:rPr>
        <w:t>% к 20</w:t>
      </w:r>
      <w:r w:rsidR="00EC12D6">
        <w:rPr>
          <w:rFonts w:ascii="Arial" w:hAnsi="Arial" w:cs="Arial"/>
          <w:sz w:val="24"/>
          <w:szCs w:val="24"/>
        </w:rPr>
        <w:t>2</w:t>
      </w:r>
      <w:r w:rsidR="00B255D8">
        <w:rPr>
          <w:rFonts w:ascii="Arial" w:hAnsi="Arial" w:cs="Arial"/>
          <w:sz w:val="24"/>
          <w:szCs w:val="24"/>
        </w:rPr>
        <w:t>1</w:t>
      </w:r>
      <w:r w:rsidRPr="00EC12D6">
        <w:rPr>
          <w:rFonts w:ascii="Arial" w:hAnsi="Arial" w:cs="Arial"/>
          <w:sz w:val="24"/>
          <w:szCs w:val="24"/>
        </w:rPr>
        <w:t xml:space="preserve"> году), </w:t>
      </w:r>
      <w:r w:rsidR="00E05D4F" w:rsidRPr="00EC12D6">
        <w:rPr>
          <w:rFonts w:ascii="Arial" w:hAnsi="Arial" w:cs="Arial"/>
          <w:sz w:val="24"/>
          <w:szCs w:val="24"/>
        </w:rPr>
        <w:t>культура и кинематография</w:t>
      </w:r>
      <w:r w:rsidRPr="00EC12D6">
        <w:rPr>
          <w:rFonts w:ascii="Arial" w:hAnsi="Arial" w:cs="Arial"/>
          <w:sz w:val="24"/>
          <w:szCs w:val="24"/>
        </w:rPr>
        <w:t xml:space="preserve"> – </w:t>
      </w:r>
      <w:r w:rsidR="00CB0145">
        <w:rPr>
          <w:rFonts w:ascii="Arial" w:hAnsi="Arial" w:cs="Arial"/>
          <w:sz w:val="24"/>
          <w:szCs w:val="24"/>
        </w:rPr>
        <w:t>81 181,1</w:t>
      </w:r>
      <w:r w:rsidR="00E05D4F" w:rsidRPr="00EC12D6">
        <w:rPr>
          <w:rFonts w:ascii="Arial" w:hAnsi="Arial" w:cs="Arial"/>
          <w:sz w:val="24"/>
          <w:szCs w:val="24"/>
        </w:rPr>
        <w:t xml:space="preserve"> тыс</w:t>
      </w:r>
      <w:r w:rsidRPr="00EC12D6">
        <w:rPr>
          <w:rFonts w:ascii="Arial" w:hAnsi="Arial" w:cs="Arial"/>
          <w:sz w:val="24"/>
          <w:szCs w:val="24"/>
        </w:rPr>
        <w:t>. рублей (</w:t>
      </w:r>
      <w:r w:rsidR="00CB0145">
        <w:rPr>
          <w:rFonts w:ascii="Arial" w:hAnsi="Arial" w:cs="Arial"/>
          <w:sz w:val="24"/>
          <w:szCs w:val="24"/>
        </w:rPr>
        <w:t>174,7</w:t>
      </w:r>
      <w:r w:rsidRPr="00EC12D6">
        <w:rPr>
          <w:rFonts w:ascii="Arial" w:hAnsi="Arial" w:cs="Arial"/>
          <w:sz w:val="24"/>
          <w:szCs w:val="24"/>
        </w:rPr>
        <w:t>% к 20</w:t>
      </w:r>
      <w:r w:rsidR="00EC12D6">
        <w:rPr>
          <w:rFonts w:ascii="Arial" w:hAnsi="Arial" w:cs="Arial"/>
          <w:sz w:val="24"/>
          <w:szCs w:val="24"/>
        </w:rPr>
        <w:t>2</w:t>
      </w:r>
      <w:r w:rsidR="00CB0145">
        <w:rPr>
          <w:rFonts w:ascii="Arial" w:hAnsi="Arial" w:cs="Arial"/>
          <w:sz w:val="24"/>
          <w:szCs w:val="24"/>
        </w:rPr>
        <w:t>1</w:t>
      </w:r>
      <w:r w:rsidRPr="00EC12D6">
        <w:rPr>
          <w:rFonts w:ascii="Arial" w:hAnsi="Arial" w:cs="Arial"/>
          <w:sz w:val="24"/>
          <w:szCs w:val="24"/>
        </w:rPr>
        <w:t xml:space="preserve"> году), социальную политику – </w:t>
      </w:r>
      <w:r w:rsidR="00CB0145">
        <w:rPr>
          <w:rFonts w:ascii="Arial" w:hAnsi="Arial" w:cs="Arial"/>
          <w:sz w:val="24"/>
          <w:szCs w:val="24"/>
        </w:rPr>
        <w:t>15 442,1</w:t>
      </w:r>
      <w:r w:rsidRPr="00EC12D6">
        <w:rPr>
          <w:rFonts w:ascii="Arial" w:hAnsi="Arial" w:cs="Arial"/>
          <w:sz w:val="24"/>
          <w:szCs w:val="24"/>
        </w:rPr>
        <w:t xml:space="preserve"> </w:t>
      </w:r>
      <w:r w:rsidR="00FE0E8B" w:rsidRPr="00EC12D6">
        <w:rPr>
          <w:rFonts w:ascii="Arial" w:hAnsi="Arial" w:cs="Arial"/>
          <w:sz w:val="24"/>
          <w:szCs w:val="24"/>
        </w:rPr>
        <w:t>тыс</w:t>
      </w:r>
      <w:r w:rsidRPr="00EC12D6">
        <w:rPr>
          <w:rFonts w:ascii="Arial" w:hAnsi="Arial" w:cs="Arial"/>
          <w:sz w:val="24"/>
          <w:szCs w:val="24"/>
        </w:rPr>
        <w:t>. рублей (</w:t>
      </w:r>
      <w:r w:rsidR="00CB0145">
        <w:rPr>
          <w:rFonts w:ascii="Arial" w:hAnsi="Arial" w:cs="Arial"/>
          <w:sz w:val="24"/>
          <w:szCs w:val="24"/>
        </w:rPr>
        <w:t>93,9</w:t>
      </w:r>
      <w:r w:rsidRPr="00EC12D6">
        <w:rPr>
          <w:rFonts w:ascii="Arial" w:hAnsi="Arial" w:cs="Arial"/>
          <w:sz w:val="24"/>
          <w:szCs w:val="24"/>
        </w:rPr>
        <w:t>% к 20</w:t>
      </w:r>
      <w:r w:rsidR="00EC12D6">
        <w:rPr>
          <w:rFonts w:ascii="Arial" w:hAnsi="Arial" w:cs="Arial"/>
          <w:sz w:val="24"/>
          <w:szCs w:val="24"/>
        </w:rPr>
        <w:t>2</w:t>
      </w:r>
      <w:r w:rsidR="00CB0145">
        <w:rPr>
          <w:rFonts w:ascii="Arial" w:hAnsi="Arial" w:cs="Arial"/>
          <w:sz w:val="24"/>
          <w:szCs w:val="24"/>
        </w:rPr>
        <w:t>1</w:t>
      </w:r>
      <w:r w:rsidRPr="00EC12D6">
        <w:rPr>
          <w:rFonts w:ascii="Arial" w:hAnsi="Arial" w:cs="Arial"/>
          <w:sz w:val="24"/>
          <w:szCs w:val="24"/>
        </w:rPr>
        <w:t xml:space="preserve"> году).</w:t>
      </w:r>
    </w:p>
    <w:p w:rsidR="00EB2308" w:rsidRDefault="00EB2308" w:rsidP="000C45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5733" w:rsidRDefault="00EB2308" w:rsidP="004A573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A5733">
        <w:rPr>
          <w:rFonts w:ascii="Arial" w:hAnsi="Arial" w:cs="Arial"/>
          <w:b/>
          <w:sz w:val="24"/>
          <w:szCs w:val="24"/>
        </w:rPr>
        <w:lastRenderedPageBreak/>
        <w:t xml:space="preserve">Исполнение </w:t>
      </w:r>
      <w:r w:rsidR="00060BA4">
        <w:rPr>
          <w:rFonts w:ascii="Arial" w:hAnsi="Arial" w:cs="Arial"/>
          <w:b/>
          <w:sz w:val="24"/>
          <w:szCs w:val="24"/>
        </w:rPr>
        <w:t xml:space="preserve">консолидированного </w:t>
      </w:r>
      <w:r w:rsidRPr="004A5733">
        <w:rPr>
          <w:rFonts w:ascii="Arial" w:hAnsi="Arial" w:cs="Arial"/>
          <w:b/>
          <w:sz w:val="24"/>
          <w:szCs w:val="24"/>
        </w:rPr>
        <w:t>бюджета Порецкого района по расходам</w:t>
      </w:r>
      <w:r w:rsidR="004A5733" w:rsidRPr="004A5733">
        <w:rPr>
          <w:rFonts w:ascii="Arial" w:hAnsi="Arial" w:cs="Arial"/>
          <w:b/>
          <w:sz w:val="24"/>
          <w:szCs w:val="24"/>
        </w:rPr>
        <w:t xml:space="preserve"> за 202</w:t>
      </w:r>
      <w:r w:rsidR="0086132B">
        <w:rPr>
          <w:rFonts w:ascii="Arial" w:hAnsi="Arial" w:cs="Arial"/>
          <w:b/>
          <w:sz w:val="24"/>
          <w:szCs w:val="24"/>
        </w:rPr>
        <w:t>1</w:t>
      </w:r>
      <w:r w:rsidR="004A5733" w:rsidRPr="004A5733">
        <w:rPr>
          <w:rFonts w:ascii="Arial" w:hAnsi="Arial" w:cs="Arial"/>
          <w:b/>
          <w:sz w:val="24"/>
          <w:szCs w:val="24"/>
        </w:rPr>
        <w:t xml:space="preserve"> год</w:t>
      </w:r>
    </w:p>
    <w:p w:rsidR="004A5733" w:rsidRPr="004A5733" w:rsidRDefault="00060BA4" w:rsidP="004A573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0BA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86400" cy="29591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1A37" w:rsidRDefault="00771A37" w:rsidP="00502B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A37" w:rsidRDefault="00771A37" w:rsidP="00F73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455" w:rsidRPr="00DC5355" w:rsidRDefault="00C73455" w:rsidP="00C734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5355">
        <w:rPr>
          <w:rFonts w:ascii="Arial" w:hAnsi="Arial" w:cs="Arial"/>
          <w:sz w:val="24"/>
          <w:szCs w:val="24"/>
        </w:rPr>
        <w:t xml:space="preserve">Формирование и исполнение консолидированного бюджета </w:t>
      </w:r>
      <w:r w:rsidR="00FE0E8B">
        <w:rPr>
          <w:rFonts w:ascii="Arial" w:hAnsi="Arial" w:cs="Arial"/>
          <w:sz w:val="24"/>
          <w:szCs w:val="24"/>
        </w:rPr>
        <w:t>Порецк</w:t>
      </w:r>
      <w:r w:rsidR="00382BF6">
        <w:rPr>
          <w:rFonts w:ascii="Arial" w:hAnsi="Arial" w:cs="Arial"/>
          <w:sz w:val="24"/>
          <w:szCs w:val="24"/>
        </w:rPr>
        <w:t>ого района осуществлялось в 202</w:t>
      </w:r>
      <w:r w:rsidR="00CB0145">
        <w:rPr>
          <w:rFonts w:ascii="Arial" w:hAnsi="Arial" w:cs="Arial"/>
          <w:sz w:val="24"/>
          <w:szCs w:val="24"/>
        </w:rPr>
        <w:t>2</w:t>
      </w:r>
      <w:r w:rsidRPr="00DC5355">
        <w:rPr>
          <w:rFonts w:ascii="Arial" w:hAnsi="Arial" w:cs="Arial"/>
          <w:sz w:val="24"/>
          <w:szCs w:val="24"/>
        </w:rPr>
        <w:t xml:space="preserve"> году с учетом необходимости реализации приоритетных направлений расходов, в первую очередь,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C73455" w:rsidRDefault="00C73455" w:rsidP="00BA58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965">
        <w:rPr>
          <w:rFonts w:ascii="Arial" w:hAnsi="Arial" w:cs="Arial"/>
          <w:sz w:val="24"/>
          <w:szCs w:val="24"/>
        </w:rPr>
        <w:t>В 20</w:t>
      </w:r>
      <w:r w:rsidR="00FE0E8B" w:rsidRPr="00091965">
        <w:rPr>
          <w:rFonts w:ascii="Arial" w:hAnsi="Arial" w:cs="Arial"/>
          <w:sz w:val="24"/>
          <w:szCs w:val="24"/>
        </w:rPr>
        <w:t>2</w:t>
      </w:r>
      <w:r w:rsidR="00CB0145">
        <w:rPr>
          <w:rFonts w:ascii="Arial" w:hAnsi="Arial" w:cs="Arial"/>
          <w:sz w:val="24"/>
          <w:szCs w:val="24"/>
        </w:rPr>
        <w:t>2</w:t>
      </w:r>
      <w:r w:rsidR="00FE0E8B" w:rsidRPr="00091965">
        <w:rPr>
          <w:rFonts w:ascii="Arial" w:hAnsi="Arial" w:cs="Arial"/>
          <w:sz w:val="24"/>
          <w:szCs w:val="24"/>
        </w:rPr>
        <w:t xml:space="preserve"> </w:t>
      </w:r>
      <w:r w:rsidRPr="00091965">
        <w:rPr>
          <w:rFonts w:ascii="Arial" w:hAnsi="Arial" w:cs="Arial"/>
          <w:sz w:val="24"/>
          <w:szCs w:val="24"/>
        </w:rPr>
        <w:t xml:space="preserve">году </w:t>
      </w:r>
      <w:r w:rsidR="00091965" w:rsidRPr="00091965">
        <w:rPr>
          <w:rFonts w:ascii="Arial" w:hAnsi="Arial" w:cs="Arial"/>
          <w:sz w:val="24"/>
          <w:szCs w:val="24"/>
        </w:rPr>
        <w:t>в Порецком районе реализовано</w:t>
      </w:r>
      <w:r w:rsidRPr="00091965">
        <w:rPr>
          <w:rFonts w:ascii="Arial" w:hAnsi="Arial" w:cs="Arial"/>
          <w:sz w:val="24"/>
          <w:szCs w:val="24"/>
        </w:rPr>
        <w:t xml:space="preserve"> </w:t>
      </w:r>
      <w:r w:rsidR="0084330B" w:rsidRPr="00091965">
        <w:rPr>
          <w:rFonts w:ascii="Arial" w:hAnsi="Arial" w:cs="Arial"/>
          <w:sz w:val="24"/>
          <w:szCs w:val="24"/>
        </w:rPr>
        <w:t>3</w:t>
      </w:r>
      <w:r w:rsidR="00091965">
        <w:rPr>
          <w:rFonts w:ascii="Arial" w:hAnsi="Arial" w:cs="Arial"/>
          <w:sz w:val="24"/>
          <w:szCs w:val="24"/>
        </w:rPr>
        <w:t xml:space="preserve"> национальных проекта на общую сумму </w:t>
      </w:r>
      <w:r w:rsidR="00DE7F02">
        <w:rPr>
          <w:rFonts w:ascii="Arial" w:hAnsi="Arial" w:cs="Arial"/>
          <w:sz w:val="24"/>
          <w:szCs w:val="24"/>
        </w:rPr>
        <w:t>7 329,1 тыс.</w:t>
      </w:r>
      <w:r w:rsidR="00091965">
        <w:rPr>
          <w:rFonts w:ascii="Arial" w:hAnsi="Arial" w:cs="Arial"/>
          <w:sz w:val="24"/>
          <w:szCs w:val="24"/>
        </w:rPr>
        <w:t xml:space="preserve"> рублей, в том числе на национальный проект «Образование» – </w:t>
      </w:r>
      <w:r w:rsidR="00DE7F02">
        <w:rPr>
          <w:rFonts w:ascii="Arial" w:hAnsi="Arial" w:cs="Arial"/>
          <w:sz w:val="24"/>
          <w:szCs w:val="24"/>
        </w:rPr>
        <w:t>4 106,0 тыс.</w:t>
      </w:r>
      <w:r w:rsidR="00091965">
        <w:rPr>
          <w:rFonts w:ascii="Arial" w:hAnsi="Arial" w:cs="Arial"/>
          <w:sz w:val="24"/>
          <w:szCs w:val="24"/>
        </w:rPr>
        <w:t xml:space="preserve"> рублей, на национальный проект «Жилье и городская среда» – </w:t>
      </w:r>
      <w:r w:rsidR="00DE7F02">
        <w:rPr>
          <w:rFonts w:ascii="Arial" w:hAnsi="Arial" w:cs="Arial"/>
          <w:sz w:val="24"/>
          <w:szCs w:val="24"/>
        </w:rPr>
        <w:t>3 048,2 тыс.</w:t>
      </w:r>
      <w:r w:rsidR="00091965">
        <w:rPr>
          <w:rFonts w:ascii="Arial" w:hAnsi="Arial" w:cs="Arial"/>
          <w:sz w:val="24"/>
          <w:szCs w:val="24"/>
        </w:rPr>
        <w:t xml:space="preserve"> рублей, на национальный проект «</w:t>
      </w:r>
      <w:r w:rsidR="004B4E6D">
        <w:rPr>
          <w:rFonts w:ascii="Arial" w:hAnsi="Arial" w:cs="Arial"/>
          <w:sz w:val="24"/>
          <w:szCs w:val="24"/>
        </w:rPr>
        <w:t>Культура</w:t>
      </w:r>
      <w:r w:rsidR="00091965">
        <w:rPr>
          <w:rFonts w:ascii="Arial" w:hAnsi="Arial" w:cs="Arial"/>
          <w:sz w:val="24"/>
          <w:szCs w:val="24"/>
        </w:rPr>
        <w:t xml:space="preserve">» – </w:t>
      </w:r>
      <w:r w:rsidR="004B4E6D">
        <w:rPr>
          <w:rFonts w:ascii="Arial" w:hAnsi="Arial" w:cs="Arial"/>
          <w:sz w:val="24"/>
          <w:szCs w:val="24"/>
        </w:rPr>
        <w:t>175</w:t>
      </w:r>
      <w:r w:rsidR="00DE7F02">
        <w:rPr>
          <w:rFonts w:ascii="Arial" w:hAnsi="Arial" w:cs="Arial"/>
          <w:sz w:val="24"/>
          <w:szCs w:val="24"/>
        </w:rPr>
        <w:t>,</w:t>
      </w:r>
      <w:r w:rsidR="004B4E6D">
        <w:rPr>
          <w:rFonts w:ascii="Arial" w:hAnsi="Arial" w:cs="Arial"/>
          <w:sz w:val="24"/>
          <w:szCs w:val="24"/>
        </w:rPr>
        <w:t xml:space="preserve"> 0</w:t>
      </w:r>
      <w:r w:rsidR="00DE7F02">
        <w:rPr>
          <w:rFonts w:ascii="Arial" w:hAnsi="Arial" w:cs="Arial"/>
          <w:sz w:val="24"/>
          <w:szCs w:val="24"/>
        </w:rPr>
        <w:t xml:space="preserve"> тыс.</w:t>
      </w:r>
      <w:r w:rsidR="00091965">
        <w:rPr>
          <w:rFonts w:ascii="Arial" w:hAnsi="Arial" w:cs="Arial"/>
          <w:sz w:val="24"/>
          <w:szCs w:val="24"/>
        </w:rPr>
        <w:t xml:space="preserve"> рублей.</w:t>
      </w:r>
    </w:p>
    <w:p w:rsidR="007D38EE" w:rsidRDefault="007D38EE" w:rsidP="00B847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38EE" w:rsidRDefault="007D38EE" w:rsidP="007D38E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38EE">
        <w:rPr>
          <w:rFonts w:ascii="Arial" w:hAnsi="Arial" w:cs="Arial"/>
          <w:b/>
          <w:sz w:val="24"/>
          <w:szCs w:val="24"/>
        </w:rPr>
        <w:t>Расходы консолидированного бюджета Порецкого района на финансирование мероприятий национальных проектов в 202</w:t>
      </w:r>
      <w:r w:rsidR="00DE7F02">
        <w:rPr>
          <w:rFonts w:ascii="Arial" w:hAnsi="Arial" w:cs="Arial"/>
          <w:b/>
          <w:sz w:val="24"/>
          <w:szCs w:val="24"/>
        </w:rPr>
        <w:t>2</w:t>
      </w:r>
      <w:r w:rsidRPr="007D38EE">
        <w:rPr>
          <w:rFonts w:ascii="Arial" w:hAnsi="Arial" w:cs="Arial"/>
          <w:b/>
          <w:sz w:val="24"/>
          <w:szCs w:val="24"/>
        </w:rPr>
        <w:t xml:space="preserve"> году</w:t>
      </w:r>
    </w:p>
    <w:p w:rsidR="000C6ACE" w:rsidRDefault="000C6ACE" w:rsidP="000C6ACE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0C6ACE" w:rsidRPr="002307FB" w:rsidRDefault="000C6ACE" w:rsidP="002307FB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</w:t>
      </w:r>
      <w:r w:rsidRPr="000C6ACE">
        <w:rPr>
          <w:rFonts w:ascii="Arial" w:hAnsi="Arial" w:cs="Arial"/>
          <w:b/>
        </w:rPr>
        <w:t>(</w:t>
      </w:r>
      <w:r w:rsidR="00DE7F02">
        <w:rPr>
          <w:rFonts w:ascii="Arial" w:hAnsi="Arial" w:cs="Arial"/>
          <w:b/>
        </w:rPr>
        <w:t>тыс.</w:t>
      </w:r>
      <w:r w:rsidRPr="000C6ACE">
        <w:rPr>
          <w:rFonts w:ascii="Arial" w:hAnsi="Arial" w:cs="Arial"/>
          <w:b/>
        </w:rPr>
        <w:t>рублей)</w:t>
      </w:r>
    </w:p>
    <w:p w:rsidR="00247EE5" w:rsidRDefault="00C81A8A" w:rsidP="00BA58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1A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51450" cy="1936750"/>
            <wp:effectExtent l="19050" t="0" r="25400" b="635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7EE5" w:rsidRPr="00BA5889" w:rsidRDefault="00247EE5" w:rsidP="00BA58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3455" w:rsidRPr="00BA5889" w:rsidRDefault="00BA5889" w:rsidP="00C40A39">
      <w:pPr>
        <w:tabs>
          <w:tab w:val="left" w:pos="8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889">
        <w:rPr>
          <w:rFonts w:ascii="Arial" w:hAnsi="Arial" w:cs="Arial"/>
          <w:sz w:val="24"/>
          <w:szCs w:val="24"/>
        </w:rPr>
        <w:t>С целью обеспечения сбалансированности консолидированного бюджета района при его исполнении в 202</w:t>
      </w:r>
      <w:r w:rsidR="00DE7F02">
        <w:rPr>
          <w:rFonts w:ascii="Arial" w:hAnsi="Arial" w:cs="Arial"/>
          <w:sz w:val="24"/>
          <w:szCs w:val="24"/>
        </w:rPr>
        <w:t>2</w:t>
      </w:r>
      <w:r w:rsidRPr="00BA5889">
        <w:rPr>
          <w:rFonts w:ascii="Arial" w:hAnsi="Arial" w:cs="Arial"/>
          <w:sz w:val="24"/>
          <w:szCs w:val="24"/>
        </w:rPr>
        <w:t xml:space="preserve"> году первоочередными являлись</w:t>
      </w:r>
      <w:r w:rsidR="002F0926">
        <w:rPr>
          <w:rFonts w:ascii="Arial" w:hAnsi="Arial" w:cs="Arial"/>
          <w:sz w:val="24"/>
          <w:szCs w:val="24"/>
        </w:rPr>
        <w:t xml:space="preserve"> следующие расходы, связанные с</w:t>
      </w:r>
      <w:r w:rsidRPr="00BA5889">
        <w:rPr>
          <w:rFonts w:ascii="Arial" w:hAnsi="Arial" w:cs="Arial"/>
          <w:sz w:val="24"/>
          <w:szCs w:val="24"/>
        </w:rPr>
        <w:t>:</w:t>
      </w:r>
    </w:p>
    <w:p w:rsidR="00BA5889" w:rsidRDefault="005D4BCF" w:rsidP="005D4BCF">
      <w:pPr>
        <w:pStyle w:val="a3"/>
        <w:numPr>
          <w:ilvl w:val="0"/>
          <w:numId w:val="2"/>
        </w:numPr>
        <w:tabs>
          <w:tab w:val="left" w:pos="8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</w:t>
      </w:r>
      <w:r w:rsidR="00BA5889" w:rsidRPr="00BA5889">
        <w:rPr>
          <w:rFonts w:ascii="Arial" w:hAnsi="Arial" w:cs="Arial"/>
          <w:sz w:val="24"/>
          <w:szCs w:val="24"/>
        </w:rPr>
        <w:t xml:space="preserve">ыплатой заработной платы и начислений на нее, с социальными выплатами, закупкой продуктов питания (услуг по обеспечению питанием), оплатой услуг по доставке учащихся района в общеобразовательные учреждения, закупкой нефтепродуктов для муниципальных нужд и нужд муниципальных учреждении района, оплатой коммунальных услуг, оплатой услуг </w:t>
      </w:r>
      <w:r w:rsidR="002F0926">
        <w:rPr>
          <w:rFonts w:ascii="Arial" w:hAnsi="Arial" w:cs="Arial"/>
          <w:sz w:val="24"/>
          <w:szCs w:val="24"/>
        </w:rPr>
        <w:t>связи, уплатой налогов и сборов</w:t>
      </w:r>
      <w:r>
        <w:rPr>
          <w:rFonts w:ascii="Arial" w:hAnsi="Arial" w:cs="Arial"/>
          <w:sz w:val="24"/>
          <w:szCs w:val="24"/>
        </w:rPr>
        <w:t xml:space="preserve">, </w:t>
      </w:r>
      <w:r w:rsidR="00A819A7">
        <w:rPr>
          <w:rFonts w:ascii="Arial" w:hAnsi="Arial" w:cs="Arial"/>
          <w:sz w:val="24"/>
          <w:szCs w:val="24"/>
        </w:rPr>
        <w:t xml:space="preserve">выделением </w:t>
      </w:r>
      <w:r>
        <w:rPr>
          <w:rFonts w:ascii="Arial" w:hAnsi="Arial" w:cs="Arial"/>
          <w:sz w:val="24"/>
          <w:szCs w:val="24"/>
        </w:rPr>
        <w:t>субсиди</w:t>
      </w:r>
      <w:r w:rsidR="00A819A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="00A819A7">
        <w:rPr>
          <w:rFonts w:ascii="Arial" w:hAnsi="Arial" w:cs="Arial"/>
          <w:sz w:val="24"/>
          <w:szCs w:val="24"/>
        </w:rPr>
        <w:t xml:space="preserve">бюджетным (автономным) </w:t>
      </w:r>
      <w:r>
        <w:rPr>
          <w:rFonts w:ascii="Arial" w:hAnsi="Arial" w:cs="Arial"/>
          <w:sz w:val="24"/>
          <w:szCs w:val="24"/>
        </w:rPr>
        <w:t>учреждени</w:t>
      </w:r>
      <w:r w:rsidR="00A819A7">
        <w:rPr>
          <w:rFonts w:ascii="Arial" w:hAnsi="Arial" w:cs="Arial"/>
          <w:sz w:val="24"/>
          <w:szCs w:val="24"/>
        </w:rPr>
        <w:t>ям</w:t>
      </w:r>
      <w:r>
        <w:rPr>
          <w:rFonts w:ascii="Arial" w:hAnsi="Arial" w:cs="Arial"/>
          <w:sz w:val="24"/>
          <w:szCs w:val="24"/>
        </w:rPr>
        <w:t xml:space="preserve"> на выполнение муниципального задания;</w:t>
      </w:r>
    </w:p>
    <w:p w:rsidR="002F0926" w:rsidRDefault="002F0926" w:rsidP="005D4BCF">
      <w:pPr>
        <w:pStyle w:val="a3"/>
        <w:numPr>
          <w:ilvl w:val="0"/>
          <w:numId w:val="2"/>
        </w:numPr>
        <w:tabs>
          <w:tab w:val="left" w:pos="8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F0926">
        <w:rPr>
          <w:rFonts w:ascii="Arial" w:hAnsi="Arial" w:cs="Arial"/>
          <w:sz w:val="24"/>
          <w:szCs w:val="24"/>
        </w:rPr>
        <w:t xml:space="preserve">редоставлением </w:t>
      </w:r>
      <w:r>
        <w:rPr>
          <w:rFonts w:ascii="Arial" w:hAnsi="Arial" w:cs="Arial"/>
          <w:sz w:val="24"/>
          <w:szCs w:val="24"/>
        </w:rPr>
        <w:t xml:space="preserve">межбюджетных трансфертов на выравнивание и обеспечение сбалансированности бюджетов </w:t>
      </w:r>
      <w:r w:rsidR="00A819A7">
        <w:rPr>
          <w:rFonts w:ascii="Arial" w:hAnsi="Arial" w:cs="Arial"/>
          <w:sz w:val="24"/>
          <w:szCs w:val="24"/>
        </w:rPr>
        <w:t xml:space="preserve">сельских </w:t>
      </w:r>
      <w:r>
        <w:rPr>
          <w:rFonts w:ascii="Arial" w:hAnsi="Arial" w:cs="Arial"/>
          <w:sz w:val="24"/>
          <w:szCs w:val="24"/>
        </w:rPr>
        <w:t>поселений района.</w:t>
      </w:r>
    </w:p>
    <w:p w:rsidR="002F0926" w:rsidRDefault="002F0926" w:rsidP="002F0926">
      <w:pPr>
        <w:pStyle w:val="a3"/>
        <w:tabs>
          <w:tab w:val="left" w:pos="8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Собственные доходы бюджета  района на </w:t>
      </w:r>
      <w:r w:rsidRPr="009451CB">
        <w:rPr>
          <w:rFonts w:ascii="Arial" w:hAnsi="Arial" w:cs="Arial"/>
          <w:sz w:val="24"/>
          <w:szCs w:val="24"/>
        </w:rPr>
        <w:t xml:space="preserve">1 жителя </w:t>
      </w:r>
      <w:r w:rsidR="005D4BCF" w:rsidRPr="009451C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91817" w:rsidRPr="00DE7F02">
        <w:rPr>
          <w:rFonts w:ascii="Arial" w:hAnsi="Arial" w:cs="Arial"/>
          <w:sz w:val="24"/>
          <w:szCs w:val="24"/>
          <w:highlight w:val="yellow"/>
        </w:rPr>
        <w:t>10 129,56</w:t>
      </w:r>
      <w:r w:rsidR="009451CB">
        <w:rPr>
          <w:rFonts w:ascii="Arial" w:hAnsi="Arial" w:cs="Arial"/>
          <w:sz w:val="24"/>
          <w:szCs w:val="24"/>
        </w:rPr>
        <w:t xml:space="preserve"> рублей.</w:t>
      </w:r>
    </w:p>
    <w:p w:rsidR="00DA0CA5" w:rsidRDefault="00DA0CA5" w:rsidP="002F0926">
      <w:pPr>
        <w:pStyle w:val="a3"/>
        <w:tabs>
          <w:tab w:val="left" w:pos="8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CA5" w:rsidRDefault="00DA0CA5" w:rsidP="00DA0CA5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775980">
        <w:rPr>
          <w:rFonts w:ascii="Arial" w:hAnsi="Arial" w:cs="Arial"/>
          <w:b/>
          <w:sz w:val="24"/>
          <w:szCs w:val="24"/>
        </w:rPr>
        <w:t>Исполнение «майских» указов Президент</w:t>
      </w:r>
      <w:r>
        <w:rPr>
          <w:rFonts w:ascii="Arial" w:hAnsi="Arial" w:cs="Arial"/>
          <w:b/>
          <w:sz w:val="24"/>
          <w:szCs w:val="24"/>
        </w:rPr>
        <w:t>а</w:t>
      </w:r>
      <w:r w:rsidRPr="00775980">
        <w:rPr>
          <w:rFonts w:ascii="Arial" w:hAnsi="Arial" w:cs="Arial"/>
          <w:b/>
          <w:sz w:val="24"/>
          <w:szCs w:val="24"/>
        </w:rPr>
        <w:t xml:space="preserve"> России Владимира Путина в части повышения заработной платы работникам бюджетной сферы</w:t>
      </w:r>
    </w:p>
    <w:p w:rsidR="00DA0CA5" w:rsidRPr="00EF68BA" w:rsidRDefault="00DA0CA5" w:rsidP="00EF68BA">
      <w:pPr>
        <w:tabs>
          <w:tab w:val="left" w:pos="8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455" w:rsidRPr="00EC12D6" w:rsidRDefault="005D4BCF" w:rsidP="009451CB">
      <w:pPr>
        <w:pStyle w:val="a3"/>
        <w:tabs>
          <w:tab w:val="left" w:pos="89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EC12D6">
        <w:rPr>
          <w:rFonts w:ascii="Arial" w:hAnsi="Arial" w:cs="Arial"/>
          <w:sz w:val="24"/>
          <w:szCs w:val="24"/>
        </w:rPr>
        <w:t>В Порецком районе многое делается для достижения показателей, определенных в майских указах Президента Российской Федерации.</w:t>
      </w:r>
    </w:p>
    <w:p w:rsidR="00A973D6" w:rsidRPr="00EC12D6" w:rsidRDefault="00A973D6" w:rsidP="009451CB">
      <w:pPr>
        <w:pStyle w:val="a3"/>
        <w:tabs>
          <w:tab w:val="left" w:pos="89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EC12D6">
        <w:rPr>
          <w:rFonts w:ascii="Arial" w:hAnsi="Arial" w:cs="Arial"/>
          <w:sz w:val="24"/>
          <w:szCs w:val="24"/>
        </w:rPr>
        <w:t>В результате реализации принятых решений в районе в 202</w:t>
      </w:r>
      <w:r w:rsidR="00DE7F02">
        <w:rPr>
          <w:rFonts w:ascii="Arial" w:hAnsi="Arial" w:cs="Arial"/>
          <w:sz w:val="24"/>
          <w:szCs w:val="24"/>
        </w:rPr>
        <w:t>2</w:t>
      </w:r>
      <w:r w:rsidRPr="00EC12D6">
        <w:rPr>
          <w:rFonts w:ascii="Arial" w:hAnsi="Arial" w:cs="Arial"/>
          <w:sz w:val="24"/>
          <w:szCs w:val="24"/>
        </w:rPr>
        <w:t xml:space="preserve"> г. средняя заработная плата составила:</w:t>
      </w:r>
    </w:p>
    <w:p w:rsidR="00A973D6" w:rsidRPr="00EC12D6" w:rsidRDefault="00A973D6" w:rsidP="009451CB">
      <w:pPr>
        <w:pStyle w:val="a3"/>
        <w:tabs>
          <w:tab w:val="left" w:pos="89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EC12D6">
        <w:rPr>
          <w:rFonts w:ascii="Arial" w:hAnsi="Arial" w:cs="Arial"/>
          <w:sz w:val="24"/>
          <w:szCs w:val="24"/>
        </w:rPr>
        <w:t xml:space="preserve">педагогических работников общеобразовательных учреждений </w:t>
      </w:r>
      <w:r w:rsidR="00DE7F02">
        <w:rPr>
          <w:rFonts w:ascii="Arial" w:hAnsi="Arial" w:cs="Arial"/>
          <w:sz w:val="24"/>
          <w:szCs w:val="24"/>
        </w:rPr>
        <w:t>35 317,15</w:t>
      </w:r>
      <w:r w:rsidRPr="00EC12D6">
        <w:rPr>
          <w:rFonts w:ascii="Arial" w:hAnsi="Arial" w:cs="Arial"/>
          <w:sz w:val="24"/>
          <w:szCs w:val="24"/>
        </w:rPr>
        <w:t xml:space="preserve"> рублей, в 20</w:t>
      </w:r>
      <w:r w:rsidR="00F91817" w:rsidRPr="00EC12D6">
        <w:rPr>
          <w:rFonts w:ascii="Arial" w:hAnsi="Arial" w:cs="Arial"/>
          <w:sz w:val="24"/>
          <w:szCs w:val="24"/>
        </w:rPr>
        <w:t>2</w:t>
      </w:r>
      <w:r w:rsidR="00DE7F02">
        <w:rPr>
          <w:rFonts w:ascii="Arial" w:hAnsi="Arial" w:cs="Arial"/>
          <w:sz w:val="24"/>
          <w:szCs w:val="24"/>
        </w:rPr>
        <w:t>1</w:t>
      </w:r>
      <w:r w:rsidR="000D0A97" w:rsidRPr="00EC12D6">
        <w:rPr>
          <w:rFonts w:ascii="Arial" w:hAnsi="Arial" w:cs="Arial"/>
          <w:sz w:val="24"/>
          <w:szCs w:val="24"/>
        </w:rPr>
        <w:t xml:space="preserve"> </w:t>
      </w:r>
      <w:r w:rsidRPr="00EC12D6">
        <w:rPr>
          <w:rFonts w:ascii="Arial" w:hAnsi="Arial" w:cs="Arial"/>
          <w:sz w:val="24"/>
          <w:szCs w:val="24"/>
        </w:rPr>
        <w:t>г</w:t>
      </w:r>
      <w:r w:rsidR="000D0A97" w:rsidRPr="00EC12D6">
        <w:rPr>
          <w:rFonts w:ascii="Arial" w:hAnsi="Arial" w:cs="Arial"/>
          <w:sz w:val="24"/>
          <w:szCs w:val="24"/>
        </w:rPr>
        <w:t>.</w:t>
      </w:r>
      <w:r w:rsidRPr="00EC12D6">
        <w:rPr>
          <w:rFonts w:ascii="Arial" w:hAnsi="Arial" w:cs="Arial"/>
          <w:sz w:val="24"/>
          <w:szCs w:val="24"/>
        </w:rPr>
        <w:t xml:space="preserve">- </w:t>
      </w:r>
      <w:r w:rsidR="00DE7F02">
        <w:rPr>
          <w:rFonts w:ascii="Arial" w:hAnsi="Arial" w:cs="Arial"/>
          <w:sz w:val="24"/>
          <w:szCs w:val="24"/>
        </w:rPr>
        <w:t>32 270,35</w:t>
      </w:r>
      <w:r w:rsidRPr="00EC12D6">
        <w:rPr>
          <w:rFonts w:ascii="Arial" w:hAnsi="Arial" w:cs="Arial"/>
          <w:sz w:val="24"/>
          <w:szCs w:val="24"/>
        </w:rPr>
        <w:t xml:space="preserve"> рублей, увеличение на </w:t>
      </w:r>
      <w:r w:rsidR="00DE7F02">
        <w:rPr>
          <w:rFonts w:ascii="Arial" w:hAnsi="Arial" w:cs="Arial"/>
          <w:sz w:val="24"/>
          <w:szCs w:val="24"/>
        </w:rPr>
        <w:t>9,4</w:t>
      </w:r>
      <w:r w:rsidR="000D0A97" w:rsidRPr="00EC12D6">
        <w:rPr>
          <w:rFonts w:ascii="Arial" w:hAnsi="Arial" w:cs="Arial"/>
          <w:sz w:val="24"/>
          <w:szCs w:val="24"/>
        </w:rPr>
        <w:t>%;</w:t>
      </w:r>
    </w:p>
    <w:p w:rsidR="00A973D6" w:rsidRPr="00EC12D6" w:rsidRDefault="00A973D6" w:rsidP="009451CB">
      <w:pPr>
        <w:pStyle w:val="a3"/>
        <w:tabs>
          <w:tab w:val="left" w:pos="89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EC12D6">
        <w:rPr>
          <w:rFonts w:ascii="Arial" w:hAnsi="Arial" w:cs="Arial"/>
          <w:sz w:val="24"/>
          <w:szCs w:val="24"/>
        </w:rPr>
        <w:t xml:space="preserve">педагогических работников дошкольных образовательных учреждений </w:t>
      </w:r>
      <w:r w:rsidR="00DE7F02">
        <w:rPr>
          <w:rFonts w:ascii="Arial" w:hAnsi="Arial" w:cs="Arial"/>
          <w:sz w:val="24"/>
          <w:szCs w:val="24"/>
        </w:rPr>
        <w:t>31170,39</w:t>
      </w:r>
      <w:r w:rsidRPr="00EC12D6">
        <w:rPr>
          <w:rFonts w:ascii="Arial" w:hAnsi="Arial" w:cs="Arial"/>
          <w:sz w:val="24"/>
          <w:szCs w:val="24"/>
        </w:rPr>
        <w:t xml:space="preserve"> рублей, в 20</w:t>
      </w:r>
      <w:r w:rsidR="00EC12D6">
        <w:rPr>
          <w:rFonts w:ascii="Arial" w:hAnsi="Arial" w:cs="Arial"/>
          <w:sz w:val="24"/>
          <w:szCs w:val="24"/>
        </w:rPr>
        <w:t>2</w:t>
      </w:r>
      <w:r w:rsidR="00DE7F02">
        <w:rPr>
          <w:rFonts w:ascii="Arial" w:hAnsi="Arial" w:cs="Arial"/>
          <w:sz w:val="24"/>
          <w:szCs w:val="24"/>
        </w:rPr>
        <w:t>1</w:t>
      </w:r>
      <w:r w:rsidRPr="00EC12D6">
        <w:rPr>
          <w:rFonts w:ascii="Arial" w:hAnsi="Arial" w:cs="Arial"/>
          <w:sz w:val="24"/>
          <w:szCs w:val="24"/>
        </w:rPr>
        <w:t xml:space="preserve"> г.-</w:t>
      </w:r>
      <w:r w:rsidR="00DE7F02">
        <w:rPr>
          <w:rFonts w:ascii="Arial" w:hAnsi="Arial" w:cs="Arial"/>
          <w:sz w:val="24"/>
          <w:szCs w:val="24"/>
        </w:rPr>
        <w:t>29 773,1</w:t>
      </w:r>
      <w:r w:rsidRPr="00EC12D6">
        <w:rPr>
          <w:rFonts w:ascii="Arial" w:hAnsi="Arial" w:cs="Arial"/>
          <w:sz w:val="24"/>
          <w:szCs w:val="24"/>
        </w:rPr>
        <w:t xml:space="preserve"> рублей, увеличение на </w:t>
      </w:r>
      <w:r w:rsidR="00DE7F02">
        <w:rPr>
          <w:rFonts w:ascii="Arial" w:hAnsi="Arial" w:cs="Arial"/>
          <w:sz w:val="24"/>
          <w:szCs w:val="24"/>
        </w:rPr>
        <w:t>4,7</w:t>
      </w:r>
      <w:r w:rsidR="000D0A97" w:rsidRPr="00EC12D6">
        <w:rPr>
          <w:rFonts w:ascii="Arial" w:hAnsi="Arial" w:cs="Arial"/>
          <w:sz w:val="24"/>
          <w:szCs w:val="24"/>
        </w:rPr>
        <w:t xml:space="preserve"> %;</w:t>
      </w:r>
    </w:p>
    <w:p w:rsidR="00A973D6" w:rsidRPr="00EC12D6" w:rsidRDefault="00A973D6" w:rsidP="009451CB">
      <w:pPr>
        <w:pStyle w:val="a3"/>
        <w:tabs>
          <w:tab w:val="left" w:pos="89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EC12D6">
        <w:rPr>
          <w:rFonts w:ascii="Arial" w:hAnsi="Arial" w:cs="Arial"/>
          <w:sz w:val="24"/>
          <w:szCs w:val="24"/>
        </w:rPr>
        <w:t xml:space="preserve">работников дополнительного образования – </w:t>
      </w:r>
      <w:r w:rsidR="00DE7F02">
        <w:rPr>
          <w:rFonts w:ascii="Arial" w:hAnsi="Arial" w:cs="Arial"/>
          <w:sz w:val="24"/>
          <w:szCs w:val="24"/>
        </w:rPr>
        <w:t>33 869,1</w:t>
      </w:r>
      <w:r w:rsidRPr="00EC12D6">
        <w:rPr>
          <w:rFonts w:ascii="Arial" w:hAnsi="Arial" w:cs="Arial"/>
          <w:sz w:val="24"/>
          <w:szCs w:val="24"/>
        </w:rPr>
        <w:t xml:space="preserve"> рублей, в 20</w:t>
      </w:r>
      <w:r w:rsidR="00EC12D6">
        <w:rPr>
          <w:rFonts w:ascii="Arial" w:hAnsi="Arial" w:cs="Arial"/>
          <w:sz w:val="24"/>
          <w:szCs w:val="24"/>
        </w:rPr>
        <w:t>2</w:t>
      </w:r>
      <w:r w:rsidR="00DE7F02">
        <w:rPr>
          <w:rFonts w:ascii="Arial" w:hAnsi="Arial" w:cs="Arial"/>
          <w:sz w:val="24"/>
          <w:szCs w:val="24"/>
        </w:rPr>
        <w:t>1</w:t>
      </w:r>
      <w:r w:rsidRPr="00EC12D6">
        <w:rPr>
          <w:rFonts w:ascii="Arial" w:hAnsi="Arial" w:cs="Arial"/>
          <w:sz w:val="24"/>
          <w:szCs w:val="24"/>
        </w:rPr>
        <w:t xml:space="preserve"> г. – </w:t>
      </w:r>
      <w:r w:rsidR="00DE7F02">
        <w:rPr>
          <w:rFonts w:ascii="Arial" w:hAnsi="Arial" w:cs="Arial"/>
          <w:sz w:val="24"/>
          <w:szCs w:val="24"/>
        </w:rPr>
        <w:t>31090,0</w:t>
      </w:r>
      <w:r w:rsidRPr="00EC12D6">
        <w:rPr>
          <w:rFonts w:ascii="Arial" w:hAnsi="Arial" w:cs="Arial"/>
          <w:sz w:val="24"/>
          <w:szCs w:val="24"/>
        </w:rPr>
        <w:t xml:space="preserve"> рублей, увеличение на</w:t>
      </w:r>
      <w:r w:rsidR="000D0A97" w:rsidRPr="00EC12D6">
        <w:rPr>
          <w:rFonts w:ascii="Arial" w:hAnsi="Arial" w:cs="Arial"/>
          <w:sz w:val="24"/>
          <w:szCs w:val="24"/>
        </w:rPr>
        <w:t xml:space="preserve"> </w:t>
      </w:r>
      <w:r w:rsidR="00DE7F02">
        <w:rPr>
          <w:rFonts w:ascii="Arial" w:hAnsi="Arial" w:cs="Arial"/>
          <w:sz w:val="24"/>
          <w:szCs w:val="24"/>
        </w:rPr>
        <w:t>8,9</w:t>
      </w:r>
      <w:r w:rsidR="000D0A97" w:rsidRPr="00EC12D6">
        <w:rPr>
          <w:rFonts w:ascii="Arial" w:hAnsi="Arial" w:cs="Arial"/>
          <w:sz w:val="24"/>
          <w:szCs w:val="24"/>
        </w:rPr>
        <w:t xml:space="preserve"> %;</w:t>
      </w:r>
    </w:p>
    <w:p w:rsidR="00A973D6" w:rsidRDefault="00A973D6" w:rsidP="009451CB">
      <w:pPr>
        <w:pStyle w:val="a3"/>
        <w:tabs>
          <w:tab w:val="left" w:pos="89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EC12D6">
        <w:rPr>
          <w:rFonts w:ascii="Arial" w:hAnsi="Arial" w:cs="Arial"/>
          <w:sz w:val="24"/>
          <w:szCs w:val="24"/>
        </w:rPr>
        <w:t xml:space="preserve">работников учреждений культуры </w:t>
      </w:r>
      <w:r w:rsidRPr="002B517F">
        <w:rPr>
          <w:rFonts w:ascii="Arial" w:hAnsi="Arial" w:cs="Arial"/>
          <w:sz w:val="24"/>
          <w:szCs w:val="24"/>
        </w:rPr>
        <w:t xml:space="preserve">– </w:t>
      </w:r>
      <w:r w:rsidR="00DE7F02">
        <w:rPr>
          <w:rFonts w:ascii="Arial" w:hAnsi="Arial" w:cs="Arial"/>
          <w:sz w:val="24"/>
          <w:szCs w:val="24"/>
        </w:rPr>
        <w:t>26931,12</w:t>
      </w:r>
      <w:r w:rsidRPr="002B517F">
        <w:rPr>
          <w:rFonts w:ascii="Arial" w:hAnsi="Arial" w:cs="Arial"/>
          <w:sz w:val="24"/>
          <w:szCs w:val="24"/>
        </w:rPr>
        <w:t xml:space="preserve"> рублей, </w:t>
      </w:r>
      <w:r w:rsidRPr="00EC12D6">
        <w:rPr>
          <w:rFonts w:ascii="Arial" w:hAnsi="Arial" w:cs="Arial"/>
          <w:sz w:val="24"/>
          <w:szCs w:val="24"/>
        </w:rPr>
        <w:t>в 20</w:t>
      </w:r>
      <w:r w:rsidR="00EC12D6" w:rsidRPr="00EC12D6">
        <w:rPr>
          <w:rFonts w:ascii="Arial" w:hAnsi="Arial" w:cs="Arial"/>
          <w:sz w:val="24"/>
          <w:szCs w:val="24"/>
        </w:rPr>
        <w:t>2</w:t>
      </w:r>
      <w:r w:rsidR="00DE7F02">
        <w:rPr>
          <w:rFonts w:ascii="Arial" w:hAnsi="Arial" w:cs="Arial"/>
          <w:sz w:val="24"/>
          <w:szCs w:val="24"/>
        </w:rPr>
        <w:t>1</w:t>
      </w:r>
      <w:r w:rsidRPr="00EC12D6">
        <w:rPr>
          <w:rFonts w:ascii="Arial" w:hAnsi="Arial" w:cs="Arial"/>
          <w:sz w:val="24"/>
          <w:szCs w:val="24"/>
        </w:rPr>
        <w:t xml:space="preserve"> г. – </w:t>
      </w:r>
      <w:r w:rsidR="00DE7F02">
        <w:rPr>
          <w:rFonts w:ascii="Arial" w:hAnsi="Arial" w:cs="Arial"/>
          <w:sz w:val="24"/>
          <w:szCs w:val="24"/>
        </w:rPr>
        <w:t>23 532,0</w:t>
      </w:r>
      <w:r w:rsidR="002B517F">
        <w:rPr>
          <w:rFonts w:ascii="Arial" w:hAnsi="Arial" w:cs="Arial"/>
          <w:sz w:val="24"/>
          <w:szCs w:val="24"/>
        </w:rPr>
        <w:t xml:space="preserve"> </w:t>
      </w:r>
      <w:r w:rsidRPr="00EC12D6">
        <w:rPr>
          <w:rFonts w:ascii="Arial" w:hAnsi="Arial" w:cs="Arial"/>
          <w:sz w:val="24"/>
          <w:szCs w:val="24"/>
        </w:rPr>
        <w:t xml:space="preserve">рублей, увеличение </w:t>
      </w:r>
      <w:r w:rsidR="002B517F">
        <w:rPr>
          <w:rFonts w:ascii="Arial" w:hAnsi="Arial" w:cs="Arial"/>
          <w:sz w:val="24"/>
          <w:szCs w:val="24"/>
        </w:rPr>
        <w:t>на 14,</w:t>
      </w:r>
      <w:r w:rsidR="00DE7F02">
        <w:rPr>
          <w:rFonts w:ascii="Arial" w:hAnsi="Arial" w:cs="Arial"/>
          <w:sz w:val="24"/>
          <w:szCs w:val="24"/>
        </w:rPr>
        <w:t>4</w:t>
      </w:r>
      <w:r w:rsidR="000D0A97" w:rsidRPr="002B517F">
        <w:rPr>
          <w:rFonts w:ascii="Arial" w:hAnsi="Arial" w:cs="Arial"/>
          <w:sz w:val="24"/>
          <w:szCs w:val="24"/>
        </w:rPr>
        <w:t xml:space="preserve"> %.</w:t>
      </w:r>
    </w:p>
    <w:p w:rsidR="00EF68BA" w:rsidRDefault="00EF68BA" w:rsidP="009451CB">
      <w:pPr>
        <w:pStyle w:val="a3"/>
        <w:tabs>
          <w:tab w:val="left" w:pos="89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EF68BA" w:rsidRPr="00722EF1" w:rsidRDefault="00EF68BA" w:rsidP="00EF68BA">
      <w:pPr>
        <w:pStyle w:val="a3"/>
        <w:numPr>
          <w:ilvl w:val="0"/>
          <w:numId w:val="1"/>
        </w:numPr>
        <w:spacing w:after="0" w:line="240" w:lineRule="auto"/>
        <w:ind w:left="284" w:firstLine="3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Осуществление </w:t>
      </w:r>
      <w:r w:rsidR="00247EE5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финансового контроля</w:t>
      </w:r>
    </w:p>
    <w:p w:rsidR="00EF68BA" w:rsidRPr="000D0A97" w:rsidRDefault="00EF68BA" w:rsidP="009451CB">
      <w:pPr>
        <w:pStyle w:val="a3"/>
        <w:tabs>
          <w:tab w:val="left" w:pos="89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8093F" w:rsidRPr="007C6C56" w:rsidRDefault="00F91817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tab/>
      </w:r>
      <w:r w:rsidR="00D8093F" w:rsidRPr="007C6C56">
        <w:rPr>
          <w:rFonts w:ascii="Arial" w:hAnsi="Arial" w:cs="Arial"/>
          <w:sz w:val="24"/>
          <w:szCs w:val="24"/>
        </w:rPr>
        <w:t>Финансовый отдел администрации Порецкого муниципального района осуществляет контроль в финансово-бюджетной сфере в соответствии с полномочиями, определенными статьей 269.2 Бюджетного кодекса Российской Федерации,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№44-ФЗ).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На основании пункта 3.1.17 Положения о финансовом отделе администрации Порецкого муниципального района, утвержденного решением Собрания депутатов Порецкого муниципального района от 31 марта 2017 г. №С-13/03, финансовый отдел администрации Порецкого муниципального района исполняет полномочия органа внутреннего муниципального финансового контроля.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По состоянию на 31.12.2022 штатная численность финансового отдела администрации Порецкого района составила 8 единиц, фактическая 8 единиц.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 xml:space="preserve">Для осуществления своей деятельности финансовый отдел администрации Порецкого муниципального района обеспечен необходимыми материальными и техническими ресурсами. Объем финансовых средств, выделенных в отчетном периоде на содержание финансового отдела администрации Порецкого муниципального района 4 119,6 тыс. руб. (фонд оплаты труда с начислениями, командировочные расходы, приобретение материальных ценностей и иные расходы). 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D8093F" w:rsidRPr="007C6C56">
        <w:rPr>
          <w:rFonts w:ascii="Arial" w:hAnsi="Arial" w:cs="Arial"/>
          <w:sz w:val="24"/>
          <w:szCs w:val="24"/>
        </w:rPr>
        <w:t xml:space="preserve">Расходы, связанные с привлечением для проведения контрольных мероприятий специалистов иных организаций, независимых экспертов, не осуществлялись. 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Деятельность по контролю осуществлялась на основании Плана контрольных мероприятий, утвержденного начальником финансового отдела администрации Порецкого района 30.12.2021 (в ред. от 30.06.2022). При этом работа корректировалась с учетом требований постановления Кабинета министров Чувашской Республики от 08.06.2022 №257 «Об особенностях осуществления в 2022 году внутреннего государственного финансового контроля в отношении главных распорядителей и получателей средств республиканского бюджета Чувашской Республики» (в соответствии с которым не проводятся проверки главных распорядителей (распорядителей) и получателей средств республиканского бюджета Чувашской Республики (казенные учреждения), в том числе являющихся государственными заказчиками, в связи с чем из плана контрольных мероприятий финансового отдела администрации Порецкого района на 2022 год исключено 4 проверки).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В течение 2022 года согласно пункту 3 статьи 269.2 Бюджетного кодекса Российской Федерации внутренний государственный (муниципальный)  контрольные мероприятия осуществлялись в соответствии с федеральными стандартами, утвержденными нормативными правовыми актами Правительства Российской Федерации: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федеральным стандартом «Принципы контрольной деятельности органов внутреннего государственного (муниципального) финансового контроля», утвержденным постановлением Правительства Российской Федерации от 06.02.2020 №95;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федеральным стандартом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 финансового контроля (их должностных лиц) при осуществлении внутреннего государственного (муниципального) финансового контроля», утвержденным постановлением Правительства Российской Федерации от 06.02.2020 №100;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федеральным стандартом «Планирование проверок, ревизий и обследований», утвержденным постановлением Правительства Российской Федерации от 27.02.2020 №208;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федеральным стандартом «Реализация результатов проверок, ревизий и обследований», утвержденным постановлением Правительства Российской Федерации от 23.07.2020 №1095;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федеральным стандартом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№1235;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федеральным стандартом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утвержденным постановлением Правительства Российской Федерации от 17.08.2020 №1237;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федеральным стандартом «Правила составления отчетности о результатах контрольной деятельности», утвержденным постановлением Правительства Российской Федерации от 16.09.2020 №1478.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В 2022 году финансовым отделом администрации Порецкого района проведено 8 проверок, в том числе 6 проверок по плану, 2 внеплановых проверки по обращению Прокуратуры Порецкого района Чувашской Республики.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Проверки проведены в отношении 8 объектов контроля.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Объем проверенных средств составляет 259 319 976,22 рублей.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D8093F" w:rsidRPr="007C6C56">
        <w:rPr>
          <w:rFonts w:ascii="Arial" w:hAnsi="Arial" w:cs="Arial"/>
          <w:sz w:val="24"/>
          <w:szCs w:val="24"/>
        </w:rPr>
        <w:t>Количество контрольных мероприятий, которыми выявлены финансовые нарушения 3 (три).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Сумма выявленных бюджетных и иных финансовых нарушений со средствами бюджета муниципального образования составляет 150,1 тыс.  рублей, или 0,05% от объема проверенных средств.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Из общей суммы выявленных финансовых нарушений: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неэффективное использование средств бюджета муниципального образования в сумме 3,0 тыс. рублей или 0,01 % от выявленных нарушений;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 xml:space="preserve">Неэффективное использование средств бюджета муниципального образования в сумме 3,0 тыс. рублей в результате уплаты пеней и штрафов. 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По результатам контрольных мероприятий направлено 5 (пять) представлений об устранении выявленных финансовых нарушений в адрес проверяемых учреждений.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Материалы 8 (восьми) контрольных мероприятий направлены в Прокуратуру Порецкого района Чувашской Республики для принятия мер прокурорского реагирования.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Число лиц, привлеченных к административной ответственности (объявлено замечаний) два, в том числе: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ведущему бухгалтеру МКУ «ЦФХО» (приказ №43 от 22.04.2022);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- ведущему бухгалтеру МКУ «ЦФХО» (приказ №43 от 22.02.2022).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Все объекты контроля представили информацию о проделанной работе по устранению выявленных проверками нарушений либо о ходе проведения таких работ.</w:t>
      </w:r>
    </w:p>
    <w:p w:rsidR="00D8093F" w:rsidRPr="007C6C56" w:rsidRDefault="00D8093F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 w:rsidRPr="007C6C56">
        <w:rPr>
          <w:rFonts w:ascii="Arial" w:hAnsi="Arial" w:cs="Arial"/>
          <w:b/>
          <w:sz w:val="24"/>
          <w:szCs w:val="24"/>
        </w:rPr>
        <w:tab/>
      </w:r>
      <w:r w:rsidRPr="007C6C56">
        <w:rPr>
          <w:rFonts w:ascii="Arial" w:hAnsi="Arial" w:cs="Arial"/>
          <w:sz w:val="24"/>
          <w:szCs w:val="24"/>
        </w:rPr>
        <w:t>Для улучшения результатов работы рекомендовано изучать нормативные и инструктивные материалы. Главным распорядителям, получателям средств местного бюджета рекомендовано усилить внутренний финансовый контроль за подведомственными учреждениями и обсуждению выявленных типичных ошибок по итогам контрольных мероприятий.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В соответствии с соглашением о сотрудничестве материалы всех контрольных мероприятий направляются в Прокуратуру Порецкого района Чувашской Республики.</w:t>
      </w:r>
    </w:p>
    <w:p w:rsidR="00D8093F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>Уведомления о применении бюджетных мер принуждения не направлялись. Решения органа внутреннего муниципального финансового контроля объектами контроля в судебном порядке не обжаловались.</w:t>
      </w:r>
    </w:p>
    <w:p w:rsidR="00F91817" w:rsidRPr="007C6C56" w:rsidRDefault="007C6C56" w:rsidP="007C6C56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093F" w:rsidRPr="007C6C56">
        <w:rPr>
          <w:rFonts w:ascii="Arial" w:hAnsi="Arial" w:cs="Arial"/>
          <w:sz w:val="24"/>
          <w:szCs w:val="24"/>
        </w:rPr>
        <w:t xml:space="preserve">В 2023 году будет продолжена реализация мероприятий, направленных на повышение эффективного контроля за использованием бюджетных </w:t>
      </w:r>
    </w:p>
    <w:p w:rsidR="00EF68BA" w:rsidRDefault="00EF68BA" w:rsidP="00D83C2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EF68BA" w:rsidRPr="00247EE5" w:rsidRDefault="00EF68BA" w:rsidP="00EF68BA">
      <w:pPr>
        <w:pStyle w:val="a6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722EF1">
        <w:rPr>
          <w:rFonts w:ascii="Arial" w:hAnsi="Arial" w:cs="Arial"/>
          <w:b/>
          <w:sz w:val="24"/>
          <w:szCs w:val="24"/>
        </w:rPr>
        <w:t>Обеспечение открытости бюджетных данных</w:t>
      </w:r>
    </w:p>
    <w:p w:rsidR="00247EE5" w:rsidRPr="00EF68BA" w:rsidRDefault="00247EE5" w:rsidP="00247EE5">
      <w:pPr>
        <w:pStyle w:val="a6"/>
        <w:ind w:left="1070"/>
        <w:rPr>
          <w:rFonts w:ascii="Arial" w:hAnsi="Arial" w:cs="Arial"/>
          <w:sz w:val="24"/>
          <w:szCs w:val="24"/>
        </w:rPr>
      </w:pPr>
    </w:p>
    <w:p w:rsidR="00EF68BA" w:rsidRPr="00D83C29" w:rsidRDefault="00247EE5" w:rsidP="00247EE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Порецкий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  <w:r w:rsidRPr="00722EF1">
        <w:rPr>
          <w:rFonts w:ascii="Arial" w:hAnsi="Arial" w:cs="Arial"/>
          <w:sz w:val="24"/>
          <w:szCs w:val="24"/>
        </w:rPr>
        <w:t xml:space="preserve">, придерживаясь установленного Бюджетным кодексом Российской Федерации принципа прозрачности (открытости) </w:t>
      </w:r>
      <w:r>
        <w:rPr>
          <w:rFonts w:ascii="Arial" w:hAnsi="Arial" w:cs="Arial"/>
          <w:sz w:val="24"/>
          <w:szCs w:val="24"/>
        </w:rPr>
        <w:t>информацию</w:t>
      </w:r>
      <w:r w:rsidRPr="00722EF1">
        <w:rPr>
          <w:rFonts w:ascii="Arial" w:hAnsi="Arial" w:cs="Arial"/>
          <w:sz w:val="24"/>
          <w:szCs w:val="24"/>
        </w:rPr>
        <w:t xml:space="preserve"> о проекте бюджета, утвержденном бюджете, внесении изменений в него и годовом отчете об исполнении бюджета размещает на </w:t>
      </w:r>
      <w:r>
        <w:rPr>
          <w:rFonts w:ascii="Arial" w:hAnsi="Arial" w:cs="Arial"/>
          <w:sz w:val="24"/>
          <w:szCs w:val="24"/>
        </w:rPr>
        <w:t xml:space="preserve">официальном сайте администрации Порецкого </w:t>
      </w:r>
      <w:r w:rsidRPr="00722E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района, </w:t>
      </w:r>
      <w:r w:rsidRPr="00722EF1">
        <w:rPr>
          <w:rFonts w:ascii="Arial" w:hAnsi="Arial" w:cs="Arial"/>
          <w:sz w:val="24"/>
          <w:szCs w:val="24"/>
        </w:rPr>
        <w:t>в понятной для широкого круга граждан форме.</w:t>
      </w:r>
    </w:p>
    <w:p w:rsidR="00D947AB" w:rsidRPr="00D947AB" w:rsidRDefault="00D947AB" w:rsidP="00D947A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947AB">
        <w:rPr>
          <w:rFonts w:ascii="Arial" w:hAnsi="Arial" w:cs="Arial"/>
          <w:sz w:val="24"/>
          <w:szCs w:val="24"/>
        </w:rPr>
        <w:t>Основными задачами на 20</w:t>
      </w:r>
      <w:r>
        <w:rPr>
          <w:rFonts w:ascii="Arial" w:hAnsi="Arial" w:cs="Arial"/>
          <w:sz w:val="24"/>
          <w:szCs w:val="24"/>
        </w:rPr>
        <w:t>2</w:t>
      </w:r>
      <w:r w:rsidR="007C6C56">
        <w:rPr>
          <w:rFonts w:ascii="Arial" w:hAnsi="Arial" w:cs="Arial"/>
          <w:sz w:val="24"/>
          <w:szCs w:val="24"/>
        </w:rPr>
        <w:t>3</w:t>
      </w:r>
      <w:r w:rsidRPr="00D947AB">
        <w:rPr>
          <w:rFonts w:ascii="Arial" w:hAnsi="Arial" w:cs="Arial"/>
          <w:sz w:val="24"/>
          <w:szCs w:val="24"/>
        </w:rPr>
        <w:t xml:space="preserve"> год являются:</w:t>
      </w:r>
    </w:p>
    <w:p w:rsidR="00D947AB" w:rsidRPr="00D947AB" w:rsidRDefault="00D947AB" w:rsidP="00D947A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947AB">
        <w:rPr>
          <w:rFonts w:ascii="Arial" w:hAnsi="Arial" w:cs="Arial"/>
          <w:sz w:val="24"/>
          <w:szCs w:val="24"/>
        </w:rPr>
        <w:t>формирование условий для ускорения темпов экономического роста и роста доходного потенциала консолидированного бюджета Порецкого района Чувашской Республики;</w:t>
      </w:r>
    </w:p>
    <w:p w:rsidR="00D947AB" w:rsidRPr="00D947AB" w:rsidRDefault="00D947AB" w:rsidP="00D947A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947AB">
        <w:rPr>
          <w:rFonts w:ascii="Arial" w:hAnsi="Arial" w:cs="Arial"/>
          <w:sz w:val="24"/>
          <w:szCs w:val="24"/>
        </w:rPr>
        <w:t>обеспечение долгосрочной устойчивости консолидированного бюджета Порецкого района Чувашской Республики, в том числе за счет повышения качества управления муниципальными финансами.</w:t>
      </w:r>
    </w:p>
    <w:p w:rsidR="00D947AB" w:rsidRPr="00D947AB" w:rsidRDefault="00D947AB" w:rsidP="00D947A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947AB">
        <w:rPr>
          <w:rFonts w:ascii="Arial" w:hAnsi="Arial" w:cs="Arial"/>
          <w:sz w:val="24"/>
          <w:szCs w:val="24"/>
        </w:rPr>
        <w:lastRenderedPageBreak/>
        <w:t>В 20</w:t>
      </w:r>
      <w:r>
        <w:rPr>
          <w:rFonts w:ascii="Arial" w:hAnsi="Arial" w:cs="Arial"/>
          <w:sz w:val="24"/>
          <w:szCs w:val="24"/>
        </w:rPr>
        <w:t>2</w:t>
      </w:r>
      <w:r w:rsidR="007C6C56">
        <w:rPr>
          <w:rFonts w:ascii="Arial" w:hAnsi="Arial" w:cs="Arial"/>
          <w:sz w:val="24"/>
          <w:szCs w:val="24"/>
        </w:rPr>
        <w:t>3</w:t>
      </w:r>
      <w:r w:rsidRPr="00D947AB">
        <w:rPr>
          <w:rFonts w:ascii="Arial" w:hAnsi="Arial" w:cs="Arial"/>
          <w:sz w:val="24"/>
          <w:szCs w:val="24"/>
        </w:rPr>
        <w:t xml:space="preserve"> году должна быть продолжена работа по повышению открытости и понятности бюджетов. Её конечной целью являются повышение информационной открытости и понятности действий органов местного самоуправления Порецкого района, обеспечение прозрачности и подотчетности бюджетных расходов, закупок и инвестиций, реализация эффективной системы контроля.</w:t>
      </w:r>
    </w:p>
    <w:p w:rsidR="00D947AB" w:rsidRPr="00D947AB" w:rsidRDefault="00D947AB" w:rsidP="00D947A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D947AB">
        <w:rPr>
          <w:rFonts w:ascii="Arial" w:hAnsi="Arial" w:cs="Arial"/>
          <w:sz w:val="24"/>
          <w:szCs w:val="24"/>
        </w:rPr>
        <w:t>Развитие данного направления будет продолжено в рамках реализации "Электронного бюджета".</w:t>
      </w:r>
    </w:p>
    <w:p w:rsidR="00F7152C" w:rsidRPr="00F7152C" w:rsidRDefault="00F7152C" w:rsidP="00F715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7152C" w:rsidRPr="00F7152C" w:rsidSect="00263C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3D51"/>
    <w:multiLevelType w:val="hybridMultilevel"/>
    <w:tmpl w:val="1BF4CF56"/>
    <w:lvl w:ilvl="0" w:tplc="E4402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7532B"/>
    <w:multiLevelType w:val="hybridMultilevel"/>
    <w:tmpl w:val="B63CCE4E"/>
    <w:lvl w:ilvl="0" w:tplc="E20692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C73455"/>
    <w:rsid w:val="000234A8"/>
    <w:rsid w:val="00023D8E"/>
    <w:rsid w:val="00060BA4"/>
    <w:rsid w:val="00073693"/>
    <w:rsid w:val="00081F92"/>
    <w:rsid w:val="00091965"/>
    <w:rsid w:val="000968F7"/>
    <w:rsid w:val="000A1655"/>
    <w:rsid w:val="000B62EF"/>
    <w:rsid w:val="000C45D5"/>
    <w:rsid w:val="000C6ACE"/>
    <w:rsid w:val="000D0A97"/>
    <w:rsid w:val="00100849"/>
    <w:rsid w:val="00106A22"/>
    <w:rsid w:val="001110DF"/>
    <w:rsid w:val="00124D39"/>
    <w:rsid w:val="001614D3"/>
    <w:rsid w:val="00164ABA"/>
    <w:rsid w:val="00176987"/>
    <w:rsid w:val="001C5D1A"/>
    <w:rsid w:val="001F42F3"/>
    <w:rsid w:val="002307FB"/>
    <w:rsid w:val="00247EE5"/>
    <w:rsid w:val="00263C6D"/>
    <w:rsid w:val="002773D8"/>
    <w:rsid w:val="00281132"/>
    <w:rsid w:val="002A4498"/>
    <w:rsid w:val="002B517F"/>
    <w:rsid w:val="002F0926"/>
    <w:rsid w:val="003445C0"/>
    <w:rsid w:val="00350485"/>
    <w:rsid w:val="00382BF6"/>
    <w:rsid w:val="00385F96"/>
    <w:rsid w:val="003E1259"/>
    <w:rsid w:val="003E4916"/>
    <w:rsid w:val="004017F6"/>
    <w:rsid w:val="0040220D"/>
    <w:rsid w:val="00424D32"/>
    <w:rsid w:val="00442194"/>
    <w:rsid w:val="0045286F"/>
    <w:rsid w:val="00460A7B"/>
    <w:rsid w:val="004A5733"/>
    <w:rsid w:val="004B4E6D"/>
    <w:rsid w:val="004D5208"/>
    <w:rsid w:val="004F0F09"/>
    <w:rsid w:val="00502B17"/>
    <w:rsid w:val="005375E3"/>
    <w:rsid w:val="005814AF"/>
    <w:rsid w:val="005C316A"/>
    <w:rsid w:val="005C372A"/>
    <w:rsid w:val="005D4BCF"/>
    <w:rsid w:val="00634421"/>
    <w:rsid w:val="00636A26"/>
    <w:rsid w:val="00642D68"/>
    <w:rsid w:val="00725D39"/>
    <w:rsid w:val="00750173"/>
    <w:rsid w:val="00756C4E"/>
    <w:rsid w:val="00771A37"/>
    <w:rsid w:val="007C6C56"/>
    <w:rsid w:val="007D38EE"/>
    <w:rsid w:val="008153C1"/>
    <w:rsid w:val="008217A8"/>
    <w:rsid w:val="008412DA"/>
    <w:rsid w:val="0084330B"/>
    <w:rsid w:val="0086132B"/>
    <w:rsid w:val="00861850"/>
    <w:rsid w:val="0087320F"/>
    <w:rsid w:val="00885476"/>
    <w:rsid w:val="008C2725"/>
    <w:rsid w:val="008C6B6E"/>
    <w:rsid w:val="009105E7"/>
    <w:rsid w:val="0093453A"/>
    <w:rsid w:val="009451CB"/>
    <w:rsid w:val="0098200B"/>
    <w:rsid w:val="009A23C6"/>
    <w:rsid w:val="00A05921"/>
    <w:rsid w:val="00A11554"/>
    <w:rsid w:val="00A12F84"/>
    <w:rsid w:val="00A306AF"/>
    <w:rsid w:val="00A44E2A"/>
    <w:rsid w:val="00A819A7"/>
    <w:rsid w:val="00A85DDD"/>
    <w:rsid w:val="00A931AE"/>
    <w:rsid w:val="00A973D6"/>
    <w:rsid w:val="00AB2392"/>
    <w:rsid w:val="00AE141B"/>
    <w:rsid w:val="00AE5A9E"/>
    <w:rsid w:val="00AF3494"/>
    <w:rsid w:val="00B255D8"/>
    <w:rsid w:val="00B4501C"/>
    <w:rsid w:val="00B8182F"/>
    <w:rsid w:val="00B84717"/>
    <w:rsid w:val="00BA5889"/>
    <w:rsid w:val="00BC169E"/>
    <w:rsid w:val="00BC5740"/>
    <w:rsid w:val="00BF185D"/>
    <w:rsid w:val="00C015F7"/>
    <w:rsid w:val="00C40A39"/>
    <w:rsid w:val="00C73455"/>
    <w:rsid w:val="00C81A8A"/>
    <w:rsid w:val="00CB0145"/>
    <w:rsid w:val="00CB5A2A"/>
    <w:rsid w:val="00CB74F8"/>
    <w:rsid w:val="00CC0A50"/>
    <w:rsid w:val="00CD1E8E"/>
    <w:rsid w:val="00D8093F"/>
    <w:rsid w:val="00D83C29"/>
    <w:rsid w:val="00D947AB"/>
    <w:rsid w:val="00DA0CA5"/>
    <w:rsid w:val="00DC108F"/>
    <w:rsid w:val="00DE7F02"/>
    <w:rsid w:val="00E05D4F"/>
    <w:rsid w:val="00E37AFC"/>
    <w:rsid w:val="00EA50F5"/>
    <w:rsid w:val="00EB2308"/>
    <w:rsid w:val="00EC12D6"/>
    <w:rsid w:val="00EC7253"/>
    <w:rsid w:val="00EF68BA"/>
    <w:rsid w:val="00F02D0E"/>
    <w:rsid w:val="00F16038"/>
    <w:rsid w:val="00F277C8"/>
    <w:rsid w:val="00F347DD"/>
    <w:rsid w:val="00F7152C"/>
    <w:rsid w:val="00F73F7D"/>
    <w:rsid w:val="00F91817"/>
    <w:rsid w:val="00FE00B7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5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715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D947AB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semiHidden/>
    <w:rsid w:val="00D8093F"/>
    <w:pPr>
      <w:spacing w:after="0" w:line="240" w:lineRule="auto"/>
      <w:ind w:firstLine="720"/>
      <w:jc w:val="center"/>
    </w:pPr>
    <w:rPr>
      <w:rFonts w:ascii="TimesET" w:eastAsia="Times New Roman" w:hAnsi="TimesET"/>
      <w:sz w:val="24"/>
      <w:szCs w:val="24"/>
      <w:lang/>
    </w:rPr>
  </w:style>
  <w:style w:type="character" w:customStyle="1" w:styleId="30">
    <w:name w:val="Основной текст с отступом 3 Знак"/>
    <w:basedOn w:val="a0"/>
    <w:link w:val="3"/>
    <w:semiHidden/>
    <w:rsid w:val="00D8093F"/>
    <w:rPr>
      <w:rFonts w:ascii="TimesET" w:eastAsia="Times New Roman" w:hAnsi="TimesET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088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83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588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069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1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333"/>
      <c:perspective val="30"/>
    </c:view3D>
    <c:plotArea>
      <c:layout>
        <c:manualLayout>
          <c:layoutTarget val="inner"/>
          <c:xMode val="edge"/>
          <c:yMode val="edge"/>
          <c:x val="5.2024734881199811E-2"/>
          <c:y val="0.35604280234201674"/>
          <c:w val="0.41518561923945896"/>
          <c:h val="0.619697537807777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9"/>
          <c:dPt>
            <c:idx val="1"/>
            <c:spPr>
              <a:solidFill>
                <a:srgbClr val="7030A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4"/>
            <c:spPr>
              <a:solidFill>
                <a:schemeClr val="bg1">
                  <a:lumMod val="75000"/>
                </a:schemeClr>
              </a:solidFill>
            </c:spPr>
          </c:dPt>
          <c:dPt>
            <c:idx val="5"/>
            <c:spPr>
              <a:solidFill>
                <a:srgbClr val="9966FF"/>
              </a:solidFill>
            </c:spPr>
          </c:dPt>
          <c:dPt>
            <c:idx val="6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7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8"/>
            <c:spPr>
              <a:solidFill>
                <a:schemeClr val="accent6"/>
              </a:solidFill>
            </c:spPr>
          </c:dPt>
          <c:dPt>
            <c:idx val="9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1.4456499368922686E-3"/>
                  <c:y val="-6.882704089789482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-2.168474905338395E-2"/>
                  <c:y val="-4.7318590617303209E-2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2.1684749053384012E-2"/>
                  <c:y val="-3.6564365477006894E-2"/>
                </c:manualLayout>
              </c:layout>
              <c:dLblPos val="bestFit"/>
              <c:showPercent val="1"/>
            </c:dLbl>
            <c:dLbl>
              <c:idx val="3"/>
              <c:layout>
                <c:manualLayout>
                  <c:x val="1.5902149305814971E-2"/>
                  <c:y val="-4.3016900561184304E-2"/>
                </c:manualLayout>
              </c:layout>
              <c:dLblPos val="bestFit"/>
              <c:showPercent val="1"/>
            </c:dLbl>
            <c:dLbl>
              <c:idx val="4"/>
              <c:layout>
                <c:manualLayout>
                  <c:x val="8.6738996213535507E-3"/>
                  <c:y val="-4.516774558924351E-2"/>
                </c:manualLayout>
              </c:layout>
              <c:dLblPos val="bestFit"/>
              <c:showPercent val="1"/>
            </c:dLbl>
            <c:dLbl>
              <c:idx val="8"/>
              <c:layout>
                <c:manualLayout>
                  <c:x val="-2.8912998737845159E-2"/>
                  <c:y val="-6.6676195869835572E-2"/>
                </c:manualLayout>
              </c:layout>
              <c:dLblPos val="bestFit"/>
              <c:showPercent val="1"/>
            </c:dLbl>
            <c:dLbl>
              <c:idx val="9"/>
              <c:layout>
                <c:manualLayout>
                  <c:x val="2.8912998737845156E-3"/>
                  <c:y val="-6.237450581371741E-2"/>
                </c:manualLayout>
              </c:layout>
              <c:dLblPos val="bestFit"/>
              <c:showPercent val="1"/>
            </c:dLbl>
            <c:dLblPos val="outEnd"/>
            <c:showPercent val="1"/>
            <c:showLeaderLines val="1"/>
          </c:dLbls>
          <c:cat>
            <c:strRef>
              <c:f>Лист1!$A$2:$A$11</c:f>
              <c:strCache>
                <c:ptCount val="9"/>
                <c:pt idx="0">
                  <c:v>Общегосударственные расходы       75545,6 тыс.руб.</c:v>
                </c:pt>
                <c:pt idx="1">
                  <c:v>Национальная оборона                     1347,9тыс.руб.</c:v>
                </c:pt>
                <c:pt idx="2">
                  <c:v>Национальная безопасность и правоохранительная деятельность   2709,8 тыс.руб.</c:v>
                </c:pt>
                <c:pt idx="3">
                  <c:v>Национальная экономика               62295,6 тыс.руб.</c:v>
                </c:pt>
                <c:pt idx="4">
                  <c:v>Жилищно-коммунальное хозяйство 58805,7 тыс.руб.</c:v>
                </c:pt>
                <c:pt idx="5">
                  <c:v>Образование                                 156806,5 тыс.руб.</c:v>
                </c:pt>
                <c:pt idx="6">
                  <c:v>Культура, кинематография          81181,1 тыс.руб.</c:v>
                </c:pt>
                <c:pt idx="7">
                  <c:v>Социальная политика                     15442,1 тыс.руб.</c:v>
                </c:pt>
                <c:pt idx="8">
                  <c:v>Физическая культура и спорт         261,4 тыс.руб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75545.600000000006</c:v>
                </c:pt>
                <c:pt idx="1">
                  <c:v>1347.9</c:v>
                </c:pt>
                <c:pt idx="2">
                  <c:v>2709.8</c:v>
                </c:pt>
                <c:pt idx="3">
                  <c:v>62295.6</c:v>
                </c:pt>
                <c:pt idx="4">
                  <c:v>58805.7</c:v>
                </c:pt>
                <c:pt idx="5" formatCode="#,##0.00">
                  <c:v>156806.5</c:v>
                </c:pt>
                <c:pt idx="6">
                  <c:v>81181.100000000006</c:v>
                </c:pt>
                <c:pt idx="7">
                  <c:v>15442.1</c:v>
                </c:pt>
                <c:pt idx="8">
                  <c:v>261.39999999999992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egendEntry>
        <c:idx val="7"/>
        <c:txPr>
          <a:bodyPr/>
          <a:lstStyle/>
          <a:p>
            <a:pPr>
              <a:defRPr sz="800" spc="0" baseline="0"/>
            </a:pPr>
            <a:endParaRPr lang="ru-RU"/>
          </a:p>
        </c:txPr>
      </c:legendEntry>
      <c:legendEntry>
        <c:idx val="9"/>
        <c:delete val="1"/>
      </c:legendEntry>
      <c:layout>
        <c:manualLayout>
          <c:xMode val="edge"/>
          <c:yMode val="edge"/>
          <c:x val="0.52184791044801604"/>
          <c:y val="5.6299549094824666E-2"/>
          <c:w val="0.46374787660843225"/>
          <c:h val="0.92492125984251972"/>
        </c:manualLayout>
      </c:layout>
      <c:spPr>
        <a:ln>
          <a:noFill/>
        </a:ln>
      </c:spPr>
      <c:txPr>
        <a:bodyPr/>
        <a:lstStyle/>
        <a:p>
          <a:pPr>
            <a:defRPr sz="800" spc="0" baseline="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528520694284366E-2"/>
          <c:y val="9.8053777011635784E-2"/>
          <c:w val="0.32353749916689817"/>
          <c:h val="0.6370607424072000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4183796856106408E-3"/>
                  <c:y val="0.12025316455696199"/>
                </c:manualLayout>
              </c:layout>
              <c:showPercent val="1"/>
            </c:dLbl>
            <c:dLbl>
              <c:idx val="1"/>
              <c:layout>
                <c:manualLayout>
                  <c:x val="-3.3235963400584607E-2"/>
                  <c:y val="-7.6611681451211042E-2"/>
                </c:manualLayout>
              </c:layout>
              <c:showPercent val="1"/>
            </c:dLbl>
            <c:dLbl>
              <c:idx val="2"/>
              <c:layout>
                <c:manualLayout>
                  <c:x val="-4.3299088823086966E-2"/>
                  <c:y val="-7.3831356523472542E-3"/>
                </c:manualLayout>
              </c:layout>
              <c:showPercent val="1"/>
            </c:dLbl>
            <c:dLbl>
              <c:idx val="3"/>
              <c:layout>
                <c:manualLayout>
                  <c:x val="-1.8055555555555561E-2"/>
                  <c:y val="8.1445340556958647E-3"/>
                </c:manualLayout>
              </c:layout>
              <c:showPercent val="1"/>
            </c:dLbl>
            <c:dLbl>
              <c:idx val="4"/>
              <c:layout>
                <c:manualLayout>
                  <c:x val="-8.4722222222222768E-2"/>
                  <c:y val="1.8325201625315639E-2"/>
                </c:manualLayout>
              </c:layout>
              <c:showPercent val="1"/>
            </c:dLbl>
            <c:dLbl>
              <c:idx val="5"/>
              <c:layout>
                <c:manualLayout>
                  <c:x val="-1.0960629921259873E-2"/>
                  <c:y val="-3.6650563576104848E-2"/>
                </c:manualLayout>
              </c:layout>
              <c:showPercent val="1"/>
            </c:dLbl>
            <c:dLbl>
              <c:idx val="6"/>
              <c:layout>
                <c:manualLayout>
                  <c:x val="-3.8888888888888862E-2"/>
                  <c:y val="-0.13438481191897944"/>
                </c:manualLayout>
              </c:layout>
              <c:showPercent val="1"/>
            </c:dLbl>
            <c:dLbl>
              <c:idx val="7"/>
              <c:layout>
                <c:manualLayout>
                  <c:x val="-3.4722222222222245E-2"/>
                  <c:y val="-0.16424767592193559"/>
                </c:manualLayout>
              </c:layout>
              <c:showPercent val="1"/>
            </c:dLbl>
            <c:dLbl>
              <c:idx val="8"/>
              <c:layout>
                <c:manualLayout>
                  <c:x val="3.0555555555555582E-2"/>
                  <c:y val="-0.15881841408606964"/>
                </c:manualLayout>
              </c:layout>
              <c:showPercent val="1"/>
            </c:dLbl>
            <c:dLbl>
              <c:idx val="9"/>
              <c:layout>
                <c:manualLayout>
                  <c:x val="-2.5000000000000001E-2"/>
                  <c:y val="-0.14729870816146626"/>
                </c:manualLayout>
              </c:layout>
              <c:showPercent val="1"/>
            </c:dLbl>
            <c:dLbl>
              <c:idx val="10"/>
              <c:layout>
                <c:manualLayout>
                  <c:x val="7.7777777777777779E-2"/>
                  <c:y val="-0.21379401896201441"/>
                </c:manualLayout>
              </c:layout>
              <c:showPercent val="1"/>
            </c:dLbl>
            <c:spPr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Лист1!$A$2:$A$11</c:f>
              <c:strCache>
                <c:ptCount val="3"/>
                <c:pt idx="0">
                  <c:v>Национальный проект "Образование"</c:v>
                </c:pt>
                <c:pt idx="1">
                  <c:v>Национальный проет "Жилье и городская среда"</c:v>
                </c:pt>
                <c:pt idx="2">
                  <c:v>Национальный проект "Культура"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4106</c:v>
                </c:pt>
                <c:pt idx="1">
                  <c:v>3048.2</c:v>
                </c:pt>
                <c:pt idx="2">
                  <c:v>175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50799741023908096"/>
          <c:y val="0.17264716910386221"/>
          <c:w val="0.417938283712119"/>
          <c:h val="0.60684739407574062"/>
        </c:manualLayout>
      </c:layout>
      <c:txPr>
        <a:bodyPr/>
        <a:lstStyle/>
        <a:p>
          <a:pPr>
            <a:defRPr sz="16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0.04062</cdr:x>
      <cdr:y>0.06681</cdr:y>
    </cdr:from>
    <cdr:to>
      <cdr:x>0.51101</cdr:x>
      <cdr:y>0.20356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241300" y="203200"/>
          <a:ext cx="2794000" cy="415952"/>
        </a:xfrm>
        <a:prstGeom xmlns:a="http://schemas.openxmlformats.org/drawingml/2006/main" prst="roundRect">
          <a:avLst/>
        </a:prstGeom>
        <a:solidFill xmlns:a="http://schemas.openxmlformats.org/drawingml/2006/main">
          <a:srgbClr val="A7EA52">
            <a:lumMod val="40000"/>
            <a:lumOff val="60000"/>
          </a:srgbClr>
        </a:solidFill>
        <a:ln xmlns:a="http://schemas.openxmlformats.org/drawingml/2006/main" w="15875" cap="flat" cmpd="sng" algn="ctr">
          <a:solidFill>
            <a:srgbClr val="4E67C8">
              <a:shade val="50000"/>
              <a:shade val="75000"/>
              <a:satMod val="125000"/>
              <a:lumMod val="75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ru-RU"/>
          </a:defPPr>
          <a:lvl1pPr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Trebuchet MS"/>
            </a:defRPr>
          </a:lvl1pPr>
          <a:lvl2pPr marL="4572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Trebuchet MS"/>
            </a:defRPr>
          </a:lvl2pPr>
          <a:lvl3pPr marL="9144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Trebuchet MS"/>
            </a:defRPr>
          </a:lvl3pPr>
          <a:lvl4pPr marL="13716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Trebuchet MS"/>
            </a:defRPr>
          </a:lvl4pPr>
          <a:lvl5pPr marL="1828800" algn="l" rtl="0" fontAlgn="base">
            <a:spcBef>
              <a:spcPct val="0"/>
            </a:spcBef>
            <a:spcAft>
              <a:spcPct val="0"/>
            </a:spcAft>
            <a:defRPr kern="1200">
              <a:solidFill>
                <a:sysClr val="window" lastClr="FFFFFF"/>
              </a:solidFill>
              <a:latin typeface="Trebuchet MS"/>
            </a:defRPr>
          </a:lvl5pPr>
          <a:lvl6pPr marL="2286000" algn="l" defTabSz="914400" rtl="0" eaLnBrk="1" latinLnBrk="0" hangingPunct="1">
            <a:defRPr kern="1200">
              <a:solidFill>
                <a:sysClr val="window" lastClr="FFFFFF"/>
              </a:solidFill>
              <a:latin typeface="Trebuchet MS"/>
            </a:defRPr>
          </a:lvl6pPr>
          <a:lvl7pPr marL="2743200" algn="l" defTabSz="914400" rtl="0" eaLnBrk="1" latinLnBrk="0" hangingPunct="1">
            <a:defRPr kern="1200">
              <a:solidFill>
                <a:sysClr val="window" lastClr="FFFFFF"/>
              </a:solidFill>
              <a:latin typeface="Trebuchet MS"/>
            </a:defRPr>
          </a:lvl7pPr>
          <a:lvl8pPr marL="3200400" algn="l" defTabSz="914400" rtl="0" eaLnBrk="1" latinLnBrk="0" hangingPunct="1">
            <a:defRPr kern="1200">
              <a:solidFill>
                <a:sysClr val="window" lastClr="FFFFFF"/>
              </a:solidFill>
              <a:latin typeface="Trebuchet MS"/>
            </a:defRPr>
          </a:lvl8pPr>
          <a:lvl9pPr marL="3657600" algn="l" defTabSz="914400" rtl="0" eaLnBrk="1" latinLnBrk="0" hangingPunct="1">
            <a:defRPr kern="1200">
              <a:solidFill>
                <a:sysClr val="window" lastClr="FFFFFF"/>
              </a:solidFill>
              <a:latin typeface="Trebuchet MS"/>
            </a:defRPr>
          </a:lvl9pPr>
        </a:lstStyle>
        <a:p xmlns:a="http://schemas.openxmlformats.org/drawingml/2006/main">
          <a:pPr algn="ctr"/>
          <a:r>
            <a:rPr lang="ru-RU" dirty="0" smtClean="0">
              <a:solidFill>
                <a:sysClr val="windowText" lastClr="000000"/>
              </a:solidFill>
            </a:rPr>
            <a:t>Расходы, всего 454</a:t>
          </a:r>
          <a:r>
            <a:rPr lang="ru-RU" baseline="0" dirty="0" smtClean="0">
              <a:solidFill>
                <a:sysClr val="windowText" lastClr="000000"/>
              </a:solidFill>
            </a:rPr>
            <a:t> 395,7</a:t>
          </a:r>
          <a:r>
            <a:rPr lang="ru-RU" dirty="0" smtClean="0">
              <a:solidFill>
                <a:sysClr val="windowText" lastClr="000000"/>
              </a:solidFill>
            </a:rPr>
            <a:t> тыс.рублей</a:t>
          </a:r>
          <a:endParaRPr lang="ru-RU" dirty="0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0.10399</cdr:x>
      <cdr:y>0.34587</cdr:y>
    </cdr:from>
    <cdr:to>
      <cdr:x>0.4474</cdr:x>
      <cdr:y>0.5912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546101" y="694027"/>
          <a:ext cx="1803396" cy="49227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dirty="0" smtClean="0">
              <a:solidFill>
                <a:schemeClr val="tx1"/>
              </a:solidFill>
            </a:rPr>
            <a:t>7</a:t>
          </a:r>
          <a:r>
            <a:rPr lang="ru-RU" sz="1200" baseline="0" dirty="0" smtClean="0">
              <a:solidFill>
                <a:schemeClr val="tx1"/>
              </a:solidFill>
            </a:rPr>
            <a:t> 329,1 тыс.</a:t>
          </a:r>
          <a:r>
            <a:rPr lang="ru-RU" sz="1200" dirty="0" smtClean="0">
              <a:solidFill>
                <a:schemeClr val="tx1"/>
              </a:solidFill>
            </a:rPr>
            <a:t>руб.</a:t>
          </a:r>
          <a:endParaRPr lang="ru-RU" sz="1200" dirty="0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Андреева</dc:creator>
  <cp:lastModifiedBy>User</cp:lastModifiedBy>
  <cp:revision>5</cp:revision>
  <cp:lastPrinted>2022-07-20T05:38:00Z</cp:lastPrinted>
  <dcterms:created xsi:type="dcterms:W3CDTF">2023-03-16T06:56:00Z</dcterms:created>
  <dcterms:modified xsi:type="dcterms:W3CDTF">2023-03-16T07:41:00Z</dcterms:modified>
</cp:coreProperties>
</file>