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Ответы на </w:t>
      </w:r>
      <w:r>
        <w:rPr>
          <w:rFonts w:ascii="Times New Roman" w:hAnsi="Times New Roman"/>
          <w:b/>
          <w:sz w:val="24"/>
          <w:szCs w:val="24"/>
        </w:rPr>
        <w:t xml:space="preserve">в</w:t>
      </w:r>
      <w:r>
        <w:rPr>
          <w:rFonts w:ascii="Times New Roman" w:hAnsi="Times New Roman"/>
          <w:b/>
          <w:sz w:val="24"/>
          <w:szCs w:val="24"/>
        </w:rPr>
        <w:t xml:space="preserve">опрос</w:t>
      </w:r>
      <w:r>
        <w:rPr>
          <w:rFonts w:ascii="Times New Roman" w:hAnsi="Times New Roman"/>
          <w:b/>
          <w:sz w:val="24"/>
          <w:szCs w:val="24"/>
        </w:rPr>
        <w:t xml:space="preserve">ы</w:t>
      </w:r>
      <w:r>
        <w:rPr>
          <w:rFonts w:ascii="Times New Roman" w:hAnsi="Times New Roman"/>
          <w:b/>
          <w:sz w:val="24"/>
          <w:szCs w:val="24"/>
        </w:rPr>
        <w:t xml:space="preserve">, поступивши</w:t>
      </w:r>
      <w:r>
        <w:rPr>
          <w:rFonts w:ascii="Times New Roman" w:hAnsi="Times New Roman"/>
          <w:b/>
          <w:sz w:val="24"/>
          <w:szCs w:val="24"/>
        </w:rPr>
        <w:t xml:space="preserve">е от граждан в ходе проведения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4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Единого информационного дня в Чувашской Республике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</w:t>
      </w: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я</w:t>
      </w:r>
      <w:r>
        <w:rPr>
          <w:rFonts w:ascii="Times New Roman" w:hAnsi="Times New Roman"/>
          <w:b/>
          <w:sz w:val="24"/>
          <w:szCs w:val="24"/>
        </w:rPr>
        <w:t xml:space="preserve">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17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51"/>
        <w:gridCol w:w="3794"/>
        <w:gridCol w:w="2485"/>
        <w:gridCol w:w="8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center"/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84"/>
              <w:contextualSpacing/>
              <w:jc w:val="center"/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center"/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center"/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Заяви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center"/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84"/>
              <w:contextualSpacing/>
              <w:jc w:val="center"/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рассмотрение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84"/>
              <w:contextualSpacing/>
              <w:jc w:val="center"/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Когда будут выданы значки ГТО уч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никам и учителям за последние 2-3 г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да?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Жительница Алатырского МО,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с. Новые Айбеси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Минспорт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сообщает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региональным операт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 ВФСК «ГТО» знаки передаются в муниципальные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тры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вышеизложенным, Вам необходимо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ратится по месту прохождения тестирования ГТО.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Когда будет запланировано обновление внешнего вида спортивного оборудов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ния и площадки центра тестирования ВФСК ГТО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расположенного на базе МАУ ДО «Спортивная школа» Алаты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ского муниципального округа в с. Атрать?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Житель Алатырского МО, с.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 Айбеси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Минспорт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щает следующее.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тестирования ВФСК «ГТО» находится на балансе МАУ ДО «СШ» Алатырского муниципального округа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вашской Республики, учредителем которого является адм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нистрация Алаты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муниципального округа Чувашской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вышеизложенным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обновления 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него вида спортивного оборудования и площадки ВФСК «ГТО», Вам необходимо обратиться в администрацию 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тырского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округа Чувашской Республики.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 Кошлаушском фельдшерском ак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шерском пункте, расположенном по 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ресу: Чувашская Республика, Вурна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ский муниципальный округ, д. Хора-Сирма, ул. Огородная, д. 33, отсутств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ет медицинский работник, когда он там появится?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Вурна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МО,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Хора-Сирма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Минздрав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сообщ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Кошлаушский фельдшерско-акушерский пункт БУ «Ву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нарская ЦРБ» Минздрава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Чувашии (д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лее соответственно — Кошлаушский ФАП, учреждение)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адресу: 429209 Чувашская Республика, Вурнарский МО, д.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ра-Сирма, ул. Огородная,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33. Радиус обслужив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– 1 км. Расстояние до учрежд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– 14 км.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ближайшего ЛПУ: 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цовское отделение общей врачебной практики (семейной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медицины учрежд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– 3 км., до Кюстюмерск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фельдшерско-акушерский 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– 4 км. Территория обслуживания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шлау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ФАП: д. Хора-Сирма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(82 чел.) и д. Кошлауши (55 чел.).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Прикрепленное население на 01.01.2024 г.- 137 чел.,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них взрослое население – 115 чел., детское – 18.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Штатным расписанием учреждения в Кошлау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ском ФАП предусмотрено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0,75 ставки фельдшера. На период отсу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ствия основного сотрудника обслуживает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фельдшер Ерш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посинского фель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шерско-акушерского пункта на условиях внутреннего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совместительства на 0,25 ставки согласно утвержденного графика (понедельник-пятница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15.30 до 17.00, суббота с 14.30 до 16.00, воскресенье-выходной). Каждую пятницу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месяца 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шлаушском ФАП прием ведет врач общей практики (семейный врач)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Кольцовского отд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общей врачебной практики (семейной медицины)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09.00 до 12.00 час.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кадрового дефицита учреждением своевременно предоставляются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о свободных вакансиях на официальном сайте в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мационно-телекоммуникационной сети «Интернет» и в «Центр занятости населения Вурнарского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округа Чувашской Республики» Министерства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циальной защиты Чувашской Республики.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учреждение принимает 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мероприятии «Ярмарка вака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сий», проводимые в БПОУ «Чебоксарский медицинский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колледж» Минздрава Чувашии и на медици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ском факультете ФГПОУ ВО «Ч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вашский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университет им. И.Н.Ульянова», заключаются договора о целевом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обучении по образовательным программам средн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профессионального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учреждением реализуются меры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держки, включая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компенсационные выплаты, предоставл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единовременных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пенсационных выплаты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программы «Земский фельдшер», субсидии на строител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(приобретение)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жилья, выделение служебного жилья, предоставление в первоочередном порядке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детям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дицинских работников в дошкольных образовательных и 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циях общего образования и т.д.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по привлечению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дицинских кадров в учреждение ведется.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 целях безопасности людей просит п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строить пешеходный тротуар по ул. З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водская г. Канаш или установить знак «ж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лая зона».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итель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г. К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наш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Минтранс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сообщает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13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дерального закона от 08.11.2007 № 257-ФЗ «Об автомобильных дорогах и о дорожной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тельности в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дерации», ст. 16 Федерального закона от 06.10.2003 № 131-ФЗ «Об общих принципах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низации местного самоуправления в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ции» и ст. 10 Закона Чувашской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от 18.10.2004 № 19 «Об организации местного самоуправления в Чува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Республике» дорожная деятельность в отношении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томобильных дорог местного значения муниципального,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родского округа и обеспечение безопасности дорожного движения на них, включая создание и обеспечение функц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онирования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ковок (парковочных мест), осуществление муниципального контроля на автомобильном тран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порте, городском наземном электрическом транспорте и в доро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хозяйстве в границах муниципального, городского округа, организация дорожного движения, а также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ществление иных полномочий в области использования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томобильных дорог и осуществления дорожной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отнесено к полномочиям органов местного самоупра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Дорожные знаки, элементы и неровности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навливаются в соответствии с ГОСТ Р 52289-2019. Данный стандарт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навливает правила применения технических средств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дорожного движения на автомобильных дорогах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щего пользования, улицах и дорогах городов и сельских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селений.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информации администрации г. Канаш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дорожные знаки, указатели и искусственные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рожные неровности на территории г. Канаш установлены в соответствии с 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организации дорожного движения, согласованного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делением ГИБДД г. Канаш.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53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установки дорожного знака «Ограничение макс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мальной скорости 30 км/ч» по автомобильной дороге ул.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водская будет вынесен на рассмотрение комиссии по обе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печению безопасности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в г. Канаш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Просит: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- благоустроить детскую и спортивную площадку по ул. Чернышевского г. К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наш;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- установить пешеходный переход и элемент принудительного снижения скорости «лежачий полицейский» через улицу Раздольная от улицы Маяковск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ител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ница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г. Канаш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Минстрой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щает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Чувашской Республики реализуется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Чувашской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«Формирование современной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Чувашской Республики» (далее – государственная программа),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жденная постановлением Кабинета Министров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вашской Республики от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2017 года №343.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государственную программу включены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приятия по благоустройству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дворовых территорий муниципальных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разований, где 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приоритетных направления, которые финансируются за счет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бюджета Чувашской Республики и средств местного бю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Первое - минимальный перечень видов работ по благ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устройству, в который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входят ремонт дворовых проездов, обеспечение освещения дворовых территорий,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установка скамеек, урн, восстановление газонов, поврежденных в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производства работ по благоустройству (на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стоянии не более 0,5 м от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Второе – ремонт тротуаров вдоль дворовых проездов, 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тротуаров, соединяющих дворовые террит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рии с объектами соц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ально-культурной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сферы (школами, детскими садами, клубами, фельдшерско-акушерскими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пунктами), и ремонт парковок (парково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мест), создание (строительство,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обустройство) парковок (парковочных мест), расположенных на дворовой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Проекты благоустройства могут включать в себя дополн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тельный 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видов работ по благоустройству, в кот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рый входят оборудование детских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спортивных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щадок, автомобил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парковок, озеленение территорий, иные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работ (далее - дополнительный перечень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 работ по благ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устройству).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включения муниципальными образованиями в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работ, 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дящих в дополнительный перечень видов работ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гоустройству, финансирование таких работ осуществляется за счет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и собственников помещений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гоквартирных домах, собственников иных зданий и соор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в границах дворовых территорий, подлежащих благоустройству,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заинтересованных юридич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лиц и индивидуальных предпринимат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вышеуказанной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программы, перечни террит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рий по реализации мероприятий по благоустро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дворовых территорий и тротуаров представляются в Минстрой Чувашии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страцией 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ствующего муниципального образования. В связи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вышеизложенным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решения вопросов о благ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устройстве дворовой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явителю рекомендуется обратиться в администрацию города Канаш Чувашской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Одновременно сообщаем, что в республиканском бюджете Чувашской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Республики на 2025 год финансирование в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ках реализации меропри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благоустройству дворовых территорий не предусмотрено.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возможно в рамках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новления Кабинета Министров Чувашской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от 22 февраля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№ 71 «О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на территории Чувашской Республики инициативных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проектов»,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торым утвержден Порядок проведения конкурсного отбора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инициативных проектов для реализации на территории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родских округов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Чувашской Республики (далее – 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Порядком субсидии предоста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ляются при условии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софинансирования за счет средств бюджета 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округа, инициативных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платежей граждан, индивид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предпринимателей и образованных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законодательством Российской Федерации юридических лиц,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числе территориального общественного 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и товариществ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собственников жилья (в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чае их создания в виде 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дического лица).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субсидии рассчитывается исходя из стоимости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 или его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случае, если стоимость проекта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ставляет более 5,0 млн. 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лей),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превышающей 5,0 млн. рублей, с учетом след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условий: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450 тыс. человек не более 20 % из респу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ликанского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Чувашской Республики от стоимости проекта (ч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проекта), средства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округа, насел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ТОС, ТСЖ, юридических лиц, индивидуальных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принимателей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ставляют не менее 80%;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100 до 450 тыс. человек включительно из республика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Чувашской Республики софинансируется не более 30 % стоимости проекта (части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проекта), средства бюджета городского округа, населения, ТОС, ТСЖ,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ческих лиц, индивидуальных предпринимателей составляют не менее 70 %;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40 до 100 тыс.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ловек включительно из республиканского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Чувашской Республики соф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нансируется не более 40 % стоимости проекта (части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та), средства бюджета городского округа, населения, ТОС, ТСЖ,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юридических лиц, индивидуальных предпринимат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составляют не менее 60 %;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40 тыс. человек включ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 из республиканского бюджета Чувашской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софинансируется не более 50 процентов стоимости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 (части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проекта), средства бюджета 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округа, населения, ТОС, ТСЖ,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лиц, индивидуальных предпринимателей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ставляют не менее 50 %.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Минтранс Чувашии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сообщает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ст. 13 Федерального закона от 08.11.2007 № 257-ФЗ «Об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автомобильных дорогах и о дорожной деятельности в Российской Федерации», ст.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Федерального закона от 06.10.2003 № 131-ФЗ «Об общих принципах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местного самоуправл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в Российской Федерации» и ст. 10 Закона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от 18.10.2004 № 19 «Об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зации местного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самоуправления в Чувашской Республике» дорожная деятельность в отношении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автомобильных дорог местного значения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ного, городского округа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безопасности дорожного движ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на них, включая создание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нирования парковок (парковочных мест), осуществл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контроля на автомобильном транспорте, городском наземном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электрическом 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порте и в дорожном хозяйстве в границах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округа, организация дорожного 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жения, а также осуществление иных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полномочий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ласти использования автомобильных дорог и 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дорожной деятельности отнесено к полномочиям органов местного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самоуправления.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ГОСТ Р 52766-2007, вне населённых пунктов пешеходные переходы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устраивают в местах размещ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пунктов питания и торговли, медицинских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лищных учреждений и других объектов обслужив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движения напротив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тротуаров и пешеходных дорожек, ведущих к этим учреждениям. Обустройство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пешехо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перехода возможно только вблизи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информации администрации г. Канаш на 2024 год в бюджете 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денежные средства на обустройства тротуара по ул. Раздольная не заложены.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тротуара на указанном участке дороги будет рассма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риваться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формировании бюджета на 2025-2027 гг.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составления аукционной документации по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стройства тротуара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Раздольная будет рассмотрен вопрос разработки технического задания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подготовку проекта организации дорожного движения с послед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ющим внесением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изменений в части касающейся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стройства пешехо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перехода вблизи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перекрестков автомобильных дорог по ул. Раздольная и ул. Маяко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касающейся вопроса восстановления иску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дорожной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неровности по ул. Раздольная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министрация г. Канаш проинформировала о том,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по объекту ремонта автомобильной дороги по ул. Раздол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с 0+00 по 0+771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г. Канаш ведется приемка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та. После сдачи подрядной организацией объекта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полном объеме будут проведены работы по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ванию документации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восст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новлению искусственной дорожной неровности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Раздольная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Чем обусловлен рост цен на масло сл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вочное?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Жительница Моргау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ского МО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с. Большой Сундырь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Минэкономразвития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сообщает 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дующее.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текущем году возрос спрос на сливочное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ло, так как кроме населения другие его потребители (рестораторы,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льеры, кондитерская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мышленность) увеличили закупки продукции. Производители масла при этом ориентиров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лись на объемы прошлого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да, что могло повлиять на стоимость. Также на уровень цен на масло сливочное влияет рост себ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у производителей продукции: курсовые колеб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рубля, удорожание кредитов, сырья (в т.ч. молочного жира, около трети всего молочного жира - это импорт), рост стоимости кормов, увеличения затрат на логистику, обсл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живание импортного оборудования, повышение стоимости энергор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сурсов, повышение зарплаты работникам. Все эти факторы напрямую отражаются и на розничных ценах в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Правительством России приняты меры по стаб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лизации цен на масло – активиз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 импорт масла из дружественных стран, производителям и переработчикам оказывается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плекс мер государственной поддержки для наращивания объемов производства. Антимонопольной службой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дятся проверки как производителей, так и крупных торг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вых сетей в целях недопущения необоснованного повыш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цен и предотвращения картельного сгов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участников рынка.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Несмотря на рост цен, по данным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вашстата на 25.11.2024 г. в Чувашии уровень цен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 остается ниже, чем в среднем ПФО и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сии, средняя цена в Чувашии соста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ляет 918,57 руб/кг, (по ПФО -1006,7 руб/кг по России - 1113,33 руб/кг).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Прошел почти год, как капитально 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ремонтировали Поре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кую центральную районную больницу, за что жители м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ниципального округа выражают огро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ную благодарность Руководству Ре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публики и Министерству здравоохран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ния. Но для удобства многие жители просят, чтобы в здании больн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цы были открыты и работали аптечный пункт и буфет. Как ускорить решение этого 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проса и когда планируется их 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крытие?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Жительница Порецкого МО,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с. Порецкое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здрав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сообщает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 ГУП Чувашской Республики «Фармация»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здравоохранения Чува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Республики, открытие аптечной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нируется в первом квартале 2025 года.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 ходе ЕИД 16.10.2024 года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я задавала вопрос по планам ремонта оставшегося участка республиканской автодороги «Чебоксары – Сурское» - Мишуково – Ардатов на границе с Мордовией (км 20+00 – км26+300). Вы же дали ответ по началу данной трассы км 0+000 – км 3+850. Что с нашим участком?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Жительница Порецкого МО, с. Мишуково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Минтранс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щает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«Чебоксары – Сурское» – Миш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 – Ардатов (до границы Мордовской Республики) является автомобильной дорогой общего пользования 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онального значения и находится в оперативном управл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казенного учреждения Чувашской Республики «Управление автом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бильных дорог Чувашской Республики» Минтранса Чув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шии (далее – КУ «Чувашупрдор»).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информации КУ «Ч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вашупрдор» Минтранса Чувашии по результатам проведе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диагностики участки: 0 км - 3 км требуется капитал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ремонт, с 3 км по 12 км - ремонт (во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становление слоя износа), с 12 км по 20 км в нормативе, с 20 км по 26 км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буется ремонт покрытия проезжей части. На сег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дняшний день на участки с 0 км по 12 км разрабатывается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ектная документация.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участку с км 20+000 по км 26+300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лансодержателю дороги рекоменд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вано с выездом на место рассмотреть вопрос приведения в нормативное состояние, в рамках доведенных лимитов на 2025 г. по статье "Содерж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ние".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Нельзя ли в ближайший период пред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смотреть проведение капитального р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монта МБОУ «Староурмарская СОШ»?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Житель Урмарского МО,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пос. Урмары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Минобразования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сообщает следу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статье 9 Федерального закона от 29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кабря 2012 г. № 273-ФЗ «Об образовании в Российской Федерации»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просы обеспечения содержания зданий и сооружений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ципальных образовательных организаций, обустройство прилегающих к ним территорий отнесены к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номочиям органов местного самоуправления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округов и городских округов в сфере образования и осущест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ляются ими за счет средств местных бюджетов.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июле 2024 года данный объект был включен в заявку Чувашской Республ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ки, для участия в дополнительном отб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Минпросвещения России по капитальному ремонту общеобразовательных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ганизаций с однолетним циклом выпо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работ на 2026 год. МБОУ «Староурмарская СОШ» Урмарского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округа Минпросвещением России отбор не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 здании детского сада «Зоренька» проведен капитальный ремонт. Необх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димо благоустроить территорию. Когда во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можно провести эти работы?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Жительница Урмарского МО,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пос. Урмары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Минобразования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сообщает следу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настоящее время Министерством ведется разработка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 предоставления субсидий по благоустройству террит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рий в дошкольных общеобразовательных учреждениях.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 внесения изменений в государственную программу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вашской Республики «Развитие образования» Министе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ством будут направлены предложения на рассмотрение в Минфин Чувашии в рамках очередного уточнения респу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ликанского бюдж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Когда планируется строительство ФАП в д.Хоруй?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Житель Урмарского МО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Минздрав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ообщ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Первичная медико-санитарная помощь насел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нию д. Хоруй Урмарского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муниципального округа оказывается отделен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ем врача общей практики, расположенном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с. Шо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кистры Урмарского муниципального округа. Прикреплённое нас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ление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фельдшерско-акушерскому пункту в д. Хоруй 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ставляет 74 человека. Расстояние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занного отделения врача общей практики до д. Хоруй соста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ляет 5 км.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Учитывая небольшое расстояние от отделения врача 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щей практики в с.Шоркистры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до д.Хоруй и наличие дороги с твёрдым асфальтовым покрытием, строительство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фельдше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ско-акушерского пункта в д. Хоруй Урмарского муниц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пального округа непланир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ется.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Дополнительно сообщаем, что согласно Положению об 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ганизации оказания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первичной медико-санитарной помощи взрослому населению, утверждённому приказом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здравсоцразвития России от 15.05.2012 № 543н, в населе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ных пунктах с числом жителей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менее 100 человек первичная медико-санитарная помощь оказывается мобильными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мед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цинскими бригадами, в том числе с использованием мед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цинских пер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движных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комплексов не реже двух раз в год.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Нет стабильного интернета, нет во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можности голосовать онлайн по иниц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ативному бюджетированию через го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усл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ги.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Просим помочь.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Житель Цивильского МО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д. Первое Степаново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Минцифры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сообща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ет,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лученной от филиала в Чувашской Республике ПАО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леком», в вышеназванном населенном пункте имеется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локонно-оптической линии связи.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решения вопроса подключения высокоскорос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интернета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рекомендуем обратиться к директору Цивильск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Серви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центра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Семенову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Владимиру Валентиновичу, e-mail: vva.semenov@volga.rt.ru.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Жители просят провести р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емонт и бл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гоустройство МБОУ «Чепкас-Никольская ООШ»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Житель Шемуршинского МО,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с. Чепкас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Ильметьево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Минстрой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щает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объектов, подлежащих капитальному ремонту в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 Чувашской Республики «Развитие 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утвержденной постановлением Кабинета Министров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вашской Республики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20.12.2018 № 531, подпрограммы «Региональный проект модернизации школьных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разования в Чувашской Республике» формирует Минобр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Чув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34" w:right="0" w:firstLine="675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информации, представленной Минобразов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Чувашии,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капитального ремонта и благоустройства терр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тории МБОУ «Че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кас-Никольская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ООШ» в 2025-2026 гг. не планируе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contextualSpacing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Интересует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вопрос утепления панел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ного многоквартирного дома. Какие есть варианты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firstLine="34"/>
              <w:spacing w:before="0" w:beforeAutospacing="0"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Жительница Янтиковского МО,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с. Янтиково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left="0" w:right="0" w:firstLine="709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Минстрой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щает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contextualSpacing/>
              <w:ind w:left="0" w:right="0" w:firstLine="709"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Многоквартирный дом № 38 по пр. Ленина с. Янтиково сдан в эксплуатацию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1982 г. и вкл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 в республиканскую программу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питального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домов. Ремонт фасада предусмотрен в 2040 году.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contextualSpacing/>
              <w:ind w:left="0" w:right="0" w:firstLine="709"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работ, которые могут выполняться в рамках кап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тального ремонта фасада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многокварти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домов за счет средств фонда капитального ремонта 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лением Кабинета Министров Чувашской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от 26 июля 2023 г. № 498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определении услуг и (или)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бот, входящих в число услуг и (или) работ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капитальному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монту общего имущества в многоквартирном доме, 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которых финансируются за счет средств фонда капитального ремонта,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который сформирован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ходя из минимального размера взноса на кап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тальный ремонт,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которые включены в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чень, указанный в части 1 статьи 166 Жилищного кодекса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рации», именно: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tbl>
            <w:tblPr>
              <w:tblW w:w="7757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5777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Ремонт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фасада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 (включая усил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ние) наружных стен,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вкл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чая штукатурные 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боты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 (включая усил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ние), частичная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перекладка кирпичной кла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ки стен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инъектирование трещин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замена оконных 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ремычек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 или замена облицово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ной плитки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 (вкл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чая усиление) архитектурных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элементов ф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окраска стен фасада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 (включая усил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ние), утепление 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 гор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зонтальных и вертикальных стыков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(ге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мошвов) стеновых пан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лей крупноблочных и крупноп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нельных зданий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(в том числе стыковых 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панелей лифтовых 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мещений)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формационных швов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замена оконных и балко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заполнений (в составе общ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 имущ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ства)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окраска оконных рам, око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ных откосов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замена оконных отливов,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ливов балконных плит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замена дверей входа в под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ъ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езды, входов в мусорокамеры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 (включая усиление) или устройство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входных групп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 или замена огра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ж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дающих и несущих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струкций открытых балконов и лоджий с восстановление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гидроизоляции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устройство уклонообразу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щей цементно-песчаной стяжки плит открытых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 отмостки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замена окон в местах общего пользования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новление, установка домов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 знака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новление, установка решеток по периметру стен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фасада на продухи чердачного помещ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новление, замена, устройство подвальных окон,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приямков, спусков в подвал и дверей входа в подвал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 или замена покр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тий козырьков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балконов, лоджий верхних этажей, если предусмотрено технически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паспортом дома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демонтаж, монтаж, восст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новление, замена, устройство козырьков над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входами в подъезды, подвалы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утепление фасада (в случае подтверждения необходим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сти)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80" w:type="dxa"/>
                  <w:vAlign w:val="center"/>
                  <w:vMerge w:val="restart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577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84"/>
                    <w:contextualSpacing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установка и (или) восстановление имущества, демонтир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ванного или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разрушенного вследствие технологических и конструктивных особе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ностей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ремонтируемых (заменяемых) конструкций, установленных по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строительному проекту многоквартирного дома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884"/>
              <w:contextualSpacing/>
              <w:ind w:firstLine="34"/>
              <w:spacing w:before="0" w:beforeAutospacing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ind w:firstLine="34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Планируется ли расширение выезда из МКР «Новый г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род»?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Сотрудник АО «ПКБ «Техн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прибор»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Минтранс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щает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13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дерального закона от 8 ноября 2007 г. № 257-ФЗ «Об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мобильных дорогах и о дорожной деятельности в Российской Федерации», ст. 16 Федеральн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закона от 06.10.2003 № 131-ФЗ «Об общих принципах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ганизации местного самоуправления в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ции» и ст. 10 Закона Чувашской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от 18 октября 2004 г. № 19 «Об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местного самоуправления в Чувашской Республике» дорожная деятельность в отнош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автомобильных дорог местного значения городского округа и обеспечение безопасности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рожного движения на них, включая создание и обеспечение функционирования парковок (парковочных мест), благоустройство прилега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 территорий, а также осуществление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контроля за сохранностью автомобильных дорог общего пользования местного значения в границах городского 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 относится к компетенции органов местного самоуправл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округа.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информации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г. Чебоксары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настоящее время в целях увеличения пропускной способности тран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 в районе поста "Восточный" разработана предпроек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документация на устройство развязки, по которым определены технические характеристики объе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финансирования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ектных работ будет рассмотрен при очередном уто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нении бюджета г. Чебоксары.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ind w:firstLine="34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Просим убрать остановку общественн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 транспорта «МАДИ», облагородить территорию вокруг неё и сделать там заезд в Новый город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913"/>
              <w:ind w:firstLine="34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 АО «ПКБ «Техн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прибор»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ind w:left="34" w:right="0" w:firstLine="675"/>
              <w:spacing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Минтранс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щает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13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дерального закона от 8 ноября 2007 г. № 257-ФЗ «Об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мобильных дорогах и о дорожной деятельности в Российской Федерации», ст. 16 Федеральн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закона от 06.10.2003 № 131-ФЗ «Об общих принципах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ганизации местного самоуправления в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ции» и ст. 10 Закона Чувашской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от 18 октября 2004 г. № 19 «Об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местного самоуправления в Чувашской Республике» дорожная деятельность в отнош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автомобильных дорог местного значения городского округа и обеспечение безопасности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рожного движения на них, включая создание и обеспечение функционирования парковок (парковочных мест), благоустройство прилега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 территорий, а также осуществление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контроля за сохранностью автомобильных дорог общего пользования местного значения в границах городского 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 относится к компетенции органов местного самоуправл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округа.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информации администрации г. Чебоксары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указанная в обращении остановка общественного транспорта распол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жена в соответствии с нормативно-техническими требов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ниями Российской Федерации в месте сформировавшегося пассаж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ропотока.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основании вышеизложенного демонтаж существу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щей остановки общественного транспорта «МАДИ» и обустро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заезда на месте указа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остановки общественного транспорта не представляется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можным.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ind w:firstLine="34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Планируется ли строительство ФАП в д. Малое Шигаево Мариинско-Посадского муниципального округа?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913"/>
              <w:ind w:firstLine="34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Собрания депутатов </w:t>
            </w:r>
            <w:r>
              <w:rPr>
                <w:sz w:val="24"/>
                <w:szCs w:val="24"/>
              </w:rPr>
              <w:t xml:space="preserve">Мариинско-Посадского </w:t>
            </w:r>
            <w:r>
              <w:rPr>
                <w:sz w:val="24"/>
                <w:szCs w:val="24"/>
              </w:rPr>
              <w:t xml:space="preserve">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Минздрав Чувашии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сообщ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ет следующее.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Фельдшерско-акушерский пункт в д. Малое Ш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гаеево, ул. Лесная, д.32 расположен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 одноэтажном щитовом здании,обнесённом кирпичом, площадью 49,9 кв.м, построенном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 1988 году и в насто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щий момент имеющим степень физического износа зд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ния равную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66%.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 соответствии с техническим заключением БУ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«Чувашт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хинвентаризация»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Минэкон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мразвития Чувашии, выданным 23.01.2023, данный объект признан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непригодным для эк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плуатации и ра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мещения в нём фельдшерско-акушерского пун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Учитывая изложенное, Министерство здравоохранения Ч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вашской Республики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включило создание нового фельдше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ско-акушерского пункта в д. Малое Шигаево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Мариинско-Посадского муниципального округа Чувашской Ре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публики в проект новой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программы модернизации перви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ного звена здравоохран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ния на 2026 год. Проект данной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программы в настоящий момент находится на согласовании в Министе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стве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здравоохранения Российской Ф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84"/>
              <w:ind w:firstLine="34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Почта в д. Сутчево Мариинско-Посадского муниципального округа не работает. Нет почтальона. Просим п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мочь в да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ном вопросе.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5" w:type="dxa"/>
            <w:vAlign w:val="top"/>
            <w:textDirection w:val="lrTb"/>
            <w:noWrap w:val="false"/>
          </w:tcPr>
          <w:p>
            <w:pPr>
              <w:pStyle w:val="913"/>
              <w:ind w:firstLine="34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Собрания депутатов Мариинско-Посадского </w:t>
            </w:r>
            <w:r>
              <w:rPr>
                <w:sz w:val="24"/>
                <w:szCs w:val="24"/>
              </w:rPr>
              <w:t xml:space="preserve">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УФПС Чувашской Респу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сообщает.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УФПС Чувашской Республики планирует возобновить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ноценный режим работы данного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деления почтовой связи в случае укомплектования начальника отделения связи.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 персонала производится почтамтом на постоянной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нове, подавались сведения «О потребности в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никах» в Центр занят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населения Мариинско-Посадского района, но кандидатов на должности начальника и почтальона в населенном пункте нет. Проблема с работой сельских отд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лений возникла не сегодня. Отток жителей из села в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 сильно влияет на скорость закрытия вакансий в сельских населенных пунктах. Мы решаем эти вопросы: направляем мобильные бригады, меняем форматы обслуживания, 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фики работы,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с кадровыми службами, но нам не всегда удается оперативно находить сотру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4"/>
              <w:ind w:left="34" w:right="0" w:firstLine="67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Просим Вас также оказать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действие в поиске кандидатуры на начальника отделения, возможно путем привлечения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трудников бюджетных и муниципальных организаций к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боте по совм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стительству.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719" w:right="1134" w:bottom="426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Liberation Serif">
    <w:panose1 w:val="02020603050405020304"/>
  </w:font>
  <w:font w:name="Cambria">
    <w:panose1 w:val="02040503050406030204"/>
  </w:font>
  <w:font w:name="Verdana">
    <w:panose1 w:val="020B0604030504040204"/>
  </w:font>
  <w:font w:name="TimesET">
    <w:panose1 w:val="02000603000000000000"/>
  </w:font>
  <w:font w:name="SimSun">
    <w:panose1 w:val="0200050600000002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separate"/>
    </w:r>
    <w:r>
      <w:rPr>
        <w:rStyle w:val="899"/>
      </w:rPr>
      <w:t xml:space="preserve">- 2 -</w: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4"/>
    <w:next w:val="884"/>
    <w:link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884"/>
    <w:next w:val="884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4"/>
    <w:next w:val="88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paragraph" w:styleId="885">
    <w:name w:val="Заголовок 1"/>
    <w:basedOn w:val="884"/>
    <w:next w:val="885"/>
    <w:link w:val="90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character" w:styleId="886">
    <w:name w:val="Основной шрифт абзаца, Знак Знак1"/>
    <w:next w:val="886"/>
    <w:link w:val="884"/>
    <w:semiHidden/>
  </w:style>
  <w:style w:type="table" w:styleId="887">
    <w:name w:val="Обычная таблица"/>
    <w:next w:val="887"/>
    <w:link w:val="884"/>
    <w:semiHidden/>
    <w:tblPr/>
  </w:style>
  <w:style w:type="numbering" w:styleId="888">
    <w:name w:val="Нет списка"/>
    <w:next w:val="888"/>
    <w:link w:val="884"/>
    <w:semiHidden/>
  </w:style>
  <w:style w:type="paragraph" w:styleId="889">
    <w:name w:val="List Paragraph"/>
    <w:basedOn w:val="884"/>
    <w:next w:val="889"/>
    <w:link w:val="884"/>
    <w:pPr>
      <w:ind w:left="720"/>
    </w:pPr>
  </w:style>
  <w:style w:type="character" w:styleId="890">
    <w:name w:val="Строгий"/>
    <w:next w:val="890"/>
    <w:link w:val="884"/>
    <w:uiPriority w:val="22"/>
    <w:qFormat/>
    <w:rPr>
      <w:b/>
      <w:bCs/>
    </w:rPr>
  </w:style>
  <w:style w:type="character" w:styleId="891">
    <w:name w:val="st"/>
    <w:basedOn w:val="886"/>
    <w:next w:val="891"/>
    <w:link w:val="884"/>
  </w:style>
  <w:style w:type="character" w:styleId="892">
    <w:name w:val="Гиперссылка"/>
    <w:next w:val="892"/>
    <w:link w:val="884"/>
    <w:uiPriority w:val="99"/>
    <w:unhideWhenUsed/>
    <w:rPr>
      <w:color w:val="333333"/>
      <w:u w:val="none"/>
    </w:rPr>
  </w:style>
  <w:style w:type="paragraph" w:styleId="893">
    <w:name w:val="Текст выноски"/>
    <w:basedOn w:val="884"/>
    <w:next w:val="893"/>
    <w:link w:val="894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94">
    <w:name w:val="Текст выноски Знак"/>
    <w:next w:val="894"/>
    <w:link w:val="893"/>
    <w:rPr>
      <w:rFonts w:ascii="Tahoma" w:hAnsi="Tahoma" w:cs="Tahoma"/>
      <w:sz w:val="16"/>
      <w:szCs w:val="16"/>
      <w:lang w:eastAsia="en-US"/>
    </w:rPr>
  </w:style>
  <w:style w:type="table" w:styleId="895">
    <w:name w:val="Сетка таблицы"/>
    <w:basedOn w:val="887"/>
    <w:next w:val="895"/>
    <w:link w:val="884"/>
    <w:tblPr/>
  </w:style>
  <w:style w:type="character" w:styleId="896">
    <w:name w:val="b-forum__text"/>
    <w:next w:val="896"/>
    <w:link w:val="884"/>
  </w:style>
  <w:style w:type="paragraph" w:styleId="897">
    <w:name w:val="Заголовок таблицы"/>
    <w:basedOn w:val="884"/>
    <w:next w:val="897"/>
    <w:link w:val="884"/>
    <w:pPr>
      <w:jc w:val="center"/>
      <w:spacing w:after="0" w:line="240" w:lineRule="auto"/>
      <w:widowControl w:val="off"/>
      <w:suppressLineNumbers/>
    </w:pPr>
    <w:rPr>
      <w:rFonts w:ascii="Times New Roman" w:hAnsi="Times New Roman" w:eastAsia="SimSun" w:cs="Tahoma"/>
      <w:b/>
      <w:bCs/>
      <w:sz w:val="24"/>
      <w:szCs w:val="24"/>
      <w:lang w:eastAsia="hi-IN"/>
    </w:rPr>
  </w:style>
  <w:style w:type="paragraph" w:styleId="898">
    <w:name w:val="Верхний колонтитул"/>
    <w:basedOn w:val="884"/>
    <w:next w:val="898"/>
    <w:link w:val="884"/>
    <w:pPr>
      <w:tabs>
        <w:tab w:val="center" w:pos="4677" w:leader="none"/>
        <w:tab w:val="right" w:pos="9355" w:leader="none"/>
      </w:tabs>
    </w:pPr>
  </w:style>
  <w:style w:type="character" w:styleId="899">
    <w:name w:val="Номер страницы"/>
    <w:basedOn w:val="886"/>
    <w:next w:val="899"/>
    <w:link w:val="884"/>
  </w:style>
  <w:style w:type="character" w:styleId="900">
    <w:name w:val="Заголовок 1 Знак"/>
    <w:next w:val="900"/>
    <w:link w:val="885"/>
    <w:rPr>
      <w:b/>
      <w:bCs/>
      <w:sz w:val="48"/>
      <w:szCs w:val="48"/>
      <w:lang w:val="ru-RU" w:eastAsia="ru-RU" w:bidi="ar-SA"/>
    </w:rPr>
  </w:style>
  <w:style w:type="paragraph" w:styleId="901">
    <w:name w:val="Обычный (веб)"/>
    <w:basedOn w:val="884"/>
    <w:next w:val="901"/>
    <w:link w:val="884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02">
    <w:name w:val="Название"/>
    <w:basedOn w:val="884"/>
    <w:next w:val="902"/>
    <w:link w:val="884"/>
    <w:qFormat/>
    <w:pPr>
      <w:jc w:val="center"/>
      <w:spacing w:after="0" w:line="240" w:lineRule="auto"/>
    </w:pPr>
    <w:rPr>
      <w:rFonts w:ascii="TimesET" w:hAnsi="TimesET"/>
      <w:b/>
      <w:bCs/>
      <w:sz w:val="24"/>
      <w:szCs w:val="24"/>
      <w:lang w:eastAsia="ru-RU"/>
    </w:rPr>
  </w:style>
  <w:style w:type="paragraph" w:styleId="903">
    <w:name w:val="Абзац списка"/>
    <w:basedOn w:val="884"/>
    <w:next w:val="903"/>
    <w:link w:val="884"/>
    <w:uiPriority w:val="34"/>
    <w:qFormat/>
    <w:pPr>
      <w:ind w:left="720"/>
    </w:pPr>
    <w:rPr>
      <w:rFonts w:ascii="Times New Roman" w:hAnsi="Times New Roman" w:eastAsia="Calibri"/>
      <w:sz w:val="26"/>
    </w:rPr>
  </w:style>
  <w:style w:type="character" w:styleId="904">
    <w:name w:val="Знак Знак1"/>
    <w:next w:val="904"/>
    <w:link w:val="884"/>
    <w:rPr>
      <w:b/>
      <w:bCs/>
      <w:sz w:val="48"/>
      <w:szCs w:val="48"/>
      <w:lang w:val="ru-RU" w:eastAsia="ru-RU" w:bidi="ar-SA"/>
    </w:rPr>
  </w:style>
  <w:style w:type="paragraph" w:styleId="905">
    <w:name w:val="Основной текст с отступом 3"/>
    <w:basedOn w:val="884"/>
    <w:next w:val="905"/>
    <w:link w:val="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06">
    <w:name w:val="No Spacing"/>
    <w:next w:val="906"/>
    <w:link w:val="884"/>
    <w:rPr>
      <w:rFonts w:ascii="Calibri" w:hAnsi="Calibri"/>
      <w:sz w:val="22"/>
      <w:szCs w:val="22"/>
      <w:lang w:val="ru-RU" w:eastAsia="en-US" w:bidi="ar-SA"/>
    </w:rPr>
  </w:style>
  <w:style w:type="character" w:styleId="907">
    <w:name w:val="apple-converted-space"/>
    <w:basedOn w:val="886"/>
    <w:next w:val="907"/>
    <w:link w:val="884"/>
  </w:style>
  <w:style w:type="paragraph" w:styleId="908">
    <w:name w:val="UserStyle_9"/>
    <w:basedOn w:val="884"/>
    <w:next w:val="908"/>
    <w:link w:val="88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909">
    <w:name w:val="Знак Знак Знак Знак"/>
    <w:basedOn w:val="884"/>
    <w:next w:val="909"/>
    <w:link w:val="88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910">
    <w:name w:val=" Знак Знак2"/>
    <w:next w:val="910"/>
    <w:link w:val="884"/>
    <w:rPr>
      <w:b/>
      <w:bCs/>
      <w:sz w:val="48"/>
      <w:szCs w:val="48"/>
    </w:rPr>
  </w:style>
  <w:style w:type="character" w:styleId="911">
    <w:name w:val="Heading 1 Char"/>
    <w:next w:val="911"/>
    <w:link w:val="884"/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912">
    <w:name w:val=" Знак Знак6"/>
    <w:basedOn w:val="884"/>
    <w:next w:val="912"/>
    <w:link w:val="8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913">
    <w:name w:val="Без интервала"/>
    <w:next w:val="913"/>
    <w:link w:val="884"/>
    <w:uiPriority w:val="1"/>
    <w:qFormat/>
    <w:rPr>
      <w:rFonts w:eastAsia="Calibri"/>
      <w:lang w:val="ru-RU" w:eastAsia="ru-RU" w:bidi="ar-SA"/>
    </w:rPr>
  </w:style>
  <w:style w:type="character" w:styleId="914">
    <w:name w:val="Код HTML"/>
    <w:next w:val="914"/>
    <w:link w:val="884"/>
    <w:rPr>
      <w:rFonts w:ascii="Arial Unicode MS" w:hAnsi="Arial Unicode MS" w:eastAsia="Arial Unicode MS" w:cs="Arial Unicode MS"/>
      <w:sz w:val="20"/>
      <w:szCs w:val="20"/>
    </w:rPr>
  </w:style>
  <w:style w:type="character" w:styleId="915">
    <w:name w:val="Выделение"/>
    <w:next w:val="915"/>
    <w:link w:val="884"/>
    <w:uiPriority w:val="20"/>
    <w:qFormat/>
    <w:rPr>
      <w:i/>
      <w:iCs/>
    </w:rPr>
  </w:style>
  <w:style w:type="paragraph" w:styleId="916">
    <w:name w:val="ConsPlusNormal"/>
    <w:next w:val="916"/>
    <w:link w:val="884"/>
    <w:pPr>
      <w:widowControl w:val="off"/>
    </w:pPr>
    <w:rPr>
      <w:sz w:val="26"/>
      <w:lang w:val="ru-RU" w:eastAsia="ru-RU" w:bidi="ar-SA"/>
    </w:rPr>
  </w:style>
  <w:style w:type="character" w:styleId="917">
    <w:name w:val="hospitalshowfoto"/>
    <w:next w:val="917"/>
    <w:link w:val="884"/>
  </w:style>
  <w:style w:type="character" w:styleId="918">
    <w:name w:val="Просмотренная гиперссылка"/>
    <w:next w:val="918"/>
    <w:link w:val="884"/>
    <w:rPr>
      <w:color w:val="800080"/>
      <w:u w:val="single"/>
    </w:rPr>
  </w:style>
  <w:style w:type="character" w:styleId="919">
    <w:name w:val="Основной текст (2)_"/>
    <w:next w:val="919"/>
    <w:link w:val="920"/>
    <w:rPr>
      <w:sz w:val="22"/>
      <w:szCs w:val="22"/>
      <w:shd w:val="clear" w:color="auto" w:fill="ffffff"/>
    </w:rPr>
  </w:style>
  <w:style w:type="paragraph" w:styleId="920">
    <w:name w:val="Основной текст (2)1"/>
    <w:basedOn w:val="884"/>
    <w:next w:val="920"/>
    <w:link w:val="919"/>
    <w:pPr>
      <w:jc w:val="both"/>
      <w:spacing w:after="240" w:line="274" w:lineRule="exact"/>
      <w:shd w:val="clear" w:color="auto" w:fill="ffffff"/>
      <w:widowControl w:val="off"/>
    </w:pPr>
    <w:rPr>
      <w:rFonts w:ascii="Times New Roman" w:hAnsi="Times New Roman"/>
      <w:lang w:eastAsia="ru-RU"/>
    </w:rPr>
  </w:style>
  <w:style w:type="character" w:styleId="921">
    <w:name w:val="Основной текст (2) + Малые прописные"/>
    <w:next w:val="921"/>
    <w:link w:val="884"/>
    <w:rPr>
      <w:rFonts w:ascii="Times New Roman" w:hAnsi="Times New Roman" w:cs="Times New Roman"/>
      <w:smallCaps/>
      <w:sz w:val="22"/>
      <w:szCs w:val="22"/>
      <w:u w:val="none"/>
      <w:shd w:val="clear" w:color="auto" w:fill="ffffff"/>
    </w:rPr>
  </w:style>
  <w:style w:type="character" w:styleId="922">
    <w:name w:val="Основной текст (2) + Не полужирный"/>
    <w:next w:val="922"/>
    <w:link w:val="88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923">
    <w:name w:val="Standard"/>
    <w:next w:val="923"/>
    <w:link w:val="884"/>
    <w:rPr>
      <w:lang w:val="ru-RU" w:eastAsia="ru-RU" w:bidi="ar-SA"/>
    </w:rPr>
  </w:style>
  <w:style w:type="character" w:styleId="924">
    <w:name w:val="fontstyle01"/>
    <w:next w:val="924"/>
    <w:link w:val="884"/>
    <w:rPr>
      <w:rFonts w:ascii="Times New Roman" w:hAnsi="Times New Roman" w:cs="Times New Roman"/>
      <w:color w:val="000000"/>
      <w:sz w:val="26"/>
      <w:szCs w:val="26"/>
    </w:rPr>
  </w:style>
  <w:style w:type="paragraph" w:styleId="925">
    <w:name w:val="Основной текст"/>
    <w:basedOn w:val="884"/>
    <w:next w:val="925"/>
    <w:link w:val="926"/>
    <w:pPr>
      <w:spacing w:after="120"/>
    </w:pPr>
  </w:style>
  <w:style w:type="character" w:styleId="926">
    <w:name w:val="Основной текст Знак"/>
    <w:next w:val="926"/>
    <w:link w:val="925"/>
    <w:rPr>
      <w:rFonts w:ascii="Calibri" w:hAnsi="Calibri"/>
      <w:sz w:val="22"/>
      <w:szCs w:val="22"/>
      <w:lang w:eastAsia="en-US"/>
    </w:rPr>
  </w:style>
  <w:style w:type="character" w:styleId="927">
    <w:name w:val="Body text (2)_"/>
    <w:next w:val="927"/>
    <w:link w:val="929"/>
    <w:rPr>
      <w:b/>
      <w:bCs/>
      <w:sz w:val="26"/>
      <w:szCs w:val="26"/>
      <w:shd w:val="clear" w:color="auto" w:fill="ffffff"/>
    </w:rPr>
  </w:style>
  <w:style w:type="character" w:styleId="928">
    <w:name w:val="Body text (2) + Not Bold"/>
    <w:next w:val="928"/>
    <w:link w:val="884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929">
    <w:name w:val="Body text (2)"/>
    <w:basedOn w:val="884"/>
    <w:next w:val="929"/>
    <w:link w:val="927"/>
    <w:pPr>
      <w:jc w:val="center"/>
      <w:spacing w:after="0" w:line="298" w:lineRule="exact"/>
      <w:shd w:val="clear" w:color="auto" w:fill="ffffff"/>
      <w:widowControl w:val="off"/>
    </w:pPr>
    <w:rPr>
      <w:rFonts w:ascii="Times New Roman" w:hAnsi="Times New Roman"/>
      <w:b/>
      <w:bCs/>
      <w:sz w:val="26"/>
      <w:szCs w:val="26"/>
      <w:lang w:eastAsia="ru-RU"/>
    </w:rPr>
  </w:style>
  <w:style w:type="character" w:styleId="930">
    <w:name w:val="fontstyle21"/>
    <w:next w:val="930"/>
    <w:link w:val="88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31">
    <w:name w:val="fontstyle31"/>
    <w:next w:val="931"/>
    <w:link w:val="884"/>
    <w:rPr>
      <w:rFonts w:ascii="Liberation Serif" w:hAnsi="Liberation Serif"/>
      <w:color w:val="000000"/>
      <w:sz w:val="26"/>
      <w:szCs w:val="26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org</dc:creator>
  <cp:revision>6</cp:revision>
  <dcterms:created xsi:type="dcterms:W3CDTF">2024-12-17T06:03:00Z</dcterms:created>
  <dcterms:modified xsi:type="dcterms:W3CDTF">2024-12-17T13:15:28Z</dcterms:modified>
  <cp:version>917504</cp:version>
</cp:coreProperties>
</file>