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E6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030B34" w:rsidRDefault="00030B34" w:rsidP="00030B34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34">
        <w:rPr>
          <w:rFonts w:ascii="Times New Roman" w:hAnsi="Times New Roman" w:cs="Times New Roman"/>
          <w:b/>
          <w:sz w:val="26"/>
          <w:szCs w:val="26"/>
        </w:rPr>
        <w:t xml:space="preserve">Отдел культуры, социального развития и </w:t>
      </w:r>
      <w:proofErr w:type="gramStart"/>
      <w:r w:rsidRPr="00030B34">
        <w:rPr>
          <w:rFonts w:ascii="Times New Roman" w:hAnsi="Times New Roman" w:cs="Times New Roman"/>
          <w:b/>
          <w:sz w:val="26"/>
          <w:szCs w:val="26"/>
        </w:rPr>
        <w:t>архивного  дела</w:t>
      </w:r>
      <w:proofErr w:type="gramEnd"/>
      <w:r w:rsidRPr="00030B34">
        <w:rPr>
          <w:rFonts w:ascii="Times New Roman" w:hAnsi="Times New Roman" w:cs="Times New Roman"/>
          <w:b/>
          <w:sz w:val="26"/>
          <w:szCs w:val="26"/>
        </w:rPr>
        <w:t xml:space="preserve"> администрации Красноармейского муниципального округа</w:t>
      </w: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6E6" w:rsidRPr="00561972" w:rsidRDefault="00342851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ГОДОВОЙ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61972" w:rsidRDefault="00342851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316E6" w:rsidRPr="00561972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 Красноармейского муниципального округа Чувашской Республики </w:t>
      </w:r>
    </w:p>
    <w:p w:rsidR="002316E6" w:rsidRPr="00561972" w:rsidRDefault="002316E6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972">
        <w:rPr>
          <w:rFonts w:ascii="Times New Roman" w:hAnsi="Times New Roman" w:cs="Times New Roman"/>
          <w:b/>
          <w:sz w:val="26"/>
          <w:szCs w:val="26"/>
        </w:rPr>
        <w:t>«Развитие</w:t>
      </w:r>
      <w:r w:rsidR="00FC1DAB" w:rsidRPr="0056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 xml:space="preserve">  культуры</w:t>
      </w:r>
      <w:r w:rsidRPr="00561972">
        <w:rPr>
          <w:rFonts w:ascii="Times New Roman" w:hAnsi="Times New Roman" w:cs="Times New Roman"/>
          <w:b/>
          <w:sz w:val="26"/>
          <w:szCs w:val="26"/>
        </w:rPr>
        <w:t>»</w:t>
      </w:r>
      <w:r w:rsidR="00F72C36" w:rsidRPr="0056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37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P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5"/>
      </w:tblGrid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Default="00561972" w:rsidP="00561972">
            <w:pPr>
              <w:rPr>
                <w:sz w:val="26"/>
                <w:szCs w:val="26"/>
              </w:rPr>
            </w:pPr>
          </w:p>
          <w:p w:rsidR="00561972" w:rsidRPr="00F04B37" w:rsidRDefault="00030B34" w:rsidP="00561972">
            <w:pPr>
              <w:rPr>
                <w:sz w:val="26"/>
                <w:szCs w:val="26"/>
              </w:rPr>
            </w:pPr>
            <w:r w:rsidRPr="00561972">
              <w:rPr>
                <w:sz w:val="26"/>
                <w:szCs w:val="26"/>
              </w:rPr>
              <w:t>Ответственный исполнитель:</w:t>
            </w:r>
          </w:p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97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культуры, социального развития и </w:t>
            </w:r>
            <w:proofErr w:type="gramStart"/>
            <w:r w:rsidRPr="00561972">
              <w:rPr>
                <w:rFonts w:ascii="Times New Roman" w:hAnsi="Times New Roman" w:cs="Times New Roman"/>
                <w:sz w:val="26"/>
                <w:szCs w:val="26"/>
              </w:rPr>
              <w:t>архивного  дела</w:t>
            </w:r>
            <w:proofErr w:type="gramEnd"/>
            <w:r w:rsidRPr="0056197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Красноармейского муниципального округа Осипова Рена Михайловна</w:t>
            </w:r>
          </w:p>
          <w:p w:rsidR="00030B34" w:rsidRDefault="00030B34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972">
              <w:rPr>
                <w:rFonts w:ascii="Times New Roman" w:hAnsi="Times New Roman" w:cs="Times New Roman"/>
                <w:sz w:val="26"/>
                <w:szCs w:val="26"/>
              </w:rPr>
              <w:t>тел.: 8(83530)2-10-60</w:t>
            </w:r>
          </w:p>
          <w:p w:rsidR="00030B34" w:rsidRDefault="00030B34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72" w:rsidRPr="00852E3F" w:rsidRDefault="00852E3F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kult</w:t>
            </w:r>
            <w:proofErr w:type="spellEnd"/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krarm</w:t>
            </w:r>
            <w:proofErr w:type="spellEnd"/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04B37" w:rsidRPr="00F04B37" w:rsidRDefault="00F04B37" w:rsidP="00561972">
      <w:pPr>
        <w:rPr>
          <w:sz w:val="26"/>
          <w:szCs w:val="26"/>
        </w:rPr>
      </w:pPr>
    </w:p>
    <w:p w:rsidR="00F04B37" w:rsidRPr="00F04B37" w:rsidRDefault="00F04B37" w:rsidP="00F04B37">
      <w:pPr>
        <w:jc w:val="right"/>
        <w:rPr>
          <w:sz w:val="26"/>
          <w:szCs w:val="26"/>
        </w:rPr>
      </w:pPr>
    </w:p>
    <w:p w:rsidR="00F04B37" w:rsidRPr="00F04B37" w:rsidRDefault="00F04B37" w:rsidP="00F04B37">
      <w:pPr>
        <w:jc w:val="center"/>
        <w:rPr>
          <w:sz w:val="26"/>
          <w:szCs w:val="26"/>
        </w:rPr>
      </w:pPr>
    </w:p>
    <w:p w:rsidR="00F04B37" w:rsidRDefault="00F04B37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Pr="00F04B37" w:rsidRDefault="00030B34" w:rsidP="00F04B37">
      <w:pPr>
        <w:jc w:val="center"/>
        <w:rPr>
          <w:sz w:val="26"/>
          <w:szCs w:val="26"/>
        </w:rPr>
      </w:pPr>
    </w:p>
    <w:p w:rsidR="00F04B37" w:rsidRPr="00F04B37" w:rsidRDefault="00F04B37" w:rsidP="00F04B37">
      <w:pPr>
        <w:jc w:val="center"/>
        <w:rPr>
          <w:sz w:val="26"/>
          <w:szCs w:val="26"/>
        </w:rPr>
      </w:pPr>
    </w:p>
    <w:p w:rsidR="00030B34" w:rsidRDefault="00F04B37" w:rsidP="00561972">
      <w:pPr>
        <w:jc w:val="center"/>
        <w:rPr>
          <w:sz w:val="26"/>
          <w:szCs w:val="26"/>
        </w:rPr>
      </w:pPr>
      <w:r w:rsidRPr="00F04B37">
        <w:rPr>
          <w:sz w:val="26"/>
          <w:szCs w:val="26"/>
        </w:rPr>
        <w:t xml:space="preserve">с. </w:t>
      </w:r>
      <w:r w:rsidR="00561972" w:rsidRPr="00561972">
        <w:rPr>
          <w:sz w:val="26"/>
          <w:szCs w:val="26"/>
        </w:rPr>
        <w:t xml:space="preserve">Красноармейское         </w:t>
      </w:r>
    </w:p>
    <w:p w:rsidR="00F04B37" w:rsidRPr="00F04B37" w:rsidRDefault="00561972" w:rsidP="00561972">
      <w:pPr>
        <w:jc w:val="center"/>
        <w:rPr>
          <w:sz w:val="26"/>
          <w:szCs w:val="26"/>
        </w:rPr>
      </w:pPr>
      <w:r w:rsidRPr="00561972">
        <w:rPr>
          <w:sz w:val="26"/>
          <w:szCs w:val="26"/>
        </w:rPr>
        <w:t>2023 год.</w:t>
      </w:r>
    </w:p>
    <w:p w:rsidR="00F04B37" w:rsidRPr="00F04B37" w:rsidRDefault="00561972" w:rsidP="00F04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7DC4" w:rsidRPr="00697DC4" w:rsidRDefault="00697DC4" w:rsidP="00030B34">
      <w:pPr>
        <w:jc w:val="both"/>
        <w:rPr>
          <w:rFonts w:eastAsia="Calibri"/>
          <w:sz w:val="24"/>
          <w:szCs w:val="24"/>
        </w:rPr>
      </w:pP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Муниципальная программа Красноармейского муниципального округа Чувашской Республики «</w:t>
      </w:r>
      <w:proofErr w:type="gramStart"/>
      <w:r w:rsidRPr="00030B34">
        <w:rPr>
          <w:rFonts w:eastAsia="Calibri"/>
          <w:sz w:val="24"/>
          <w:szCs w:val="24"/>
        </w:rPr>
        <w:t>Развитие  культуры</w:t>
      </w:r>
      <w:proofErr w:type="gramEnd"/>
      <w:r w:rsidRPr="00030B34">
        <w:rPr>
          <w:rFonts w:eastAsia="Calibri"/>
          <w:sz w:val="24"/>
          <w:szCs w:val="24"/>
        </w:rPr>
        <w:t>» утверждена постановлением администрации Красноармейского муниципального округа от 02.03.2022 № 150 (с изменениями, внесенными постановлением администрации Красноармейского муниципального округа № 666 от 28.06.2022</w:t>
      </w:r>
      <w:r w:rsidR="00904C97">
        <w:rPr>
          <w:rFonts w:eastAsia="Calibri"/>
          <w:sz w:val="24"/>
          <w:szCs w:val="24"/>
        </w:rPr>
        <w:t>, № 126 от 01.02.2023</w:t>
      </w:r>
      <w:r w:rsidRPr="00030B34">
        <w:rPr>
          <w:rFonts w:eastAsia="Calibri"/>
          <w:sz w:val="24"/>
          <w:szCs w:val="24"/>
        </w:rPr>
        <w:t>).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В программу входят подпрограммы: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«Развитие культуры»;</w:t>
      </w:r>
    </w:p>
    <w:p w:rsidR="00697DC4" w:rsidRPr="00030B34" w:rsidRDefault="00697DC4" w:rsidP="00697DC4">
      <w:pPr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«Укрепление единства российской нации и этнокультурное развитие народов Чувашской Республики»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Обеспечение реализации муниципальной программы «Развитие культуры».</w:t>
      </w:r>
    </w:p>
    <w:p w:rsidR="00697DC4" w:rsidRPr="00631B85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Общий объем бюджетных средств на реализацию муниципальной программы в 2022 году предусмотрен в сумме </w:t>
      </w:r>
      <w:r w:rsidR="00E3166E">
        <w:rPr>
          <w:rFonts w:eastAsia="Calibri"/>
          <w:sz w:val="24"/>
          <w:szCs w:val="24"/>
        </w:rPr>
        <w:t>34589,9</w:t>
      </w:r>
      <w:r w:rsidRPr="00030B34">
        <w:rPr>
          <w:rFonts w:eastAsia="Calibri"/>
          <w:sz w:val="24"/>
          <w:szCs w:val="24"/>
        </w:rPr>
        <w:t xml:space="preserve"> тыс. руб. Фактическое исполнение </w:t>
      </w:r>
      <w:r w:rsidRPr="00631B85">
        <w:rPr>
          <w:rFonts w:eastAsia="Calibri"/>
          <w:sz w:val="24"/>
          <w:szCs w:val="24"/>
        </w:rPr>
        <w:t xml:space="preserve">составило </w:t>
      </w:r>
      <w:r w:rsidR="00631B85" w:rsidRPr="00631B85">
        <w:rPr>
          <w:rFonts w:eastAsia="Calibri"/>
          <w:sz w:val="24"/>
          <w:szCs w:val="24"/>
        </w:rPr>
        <w:t>34519</w:t>
      </w:r>
      <w:r w:rsidRPr="00631B85">
        <w:rPr>
          <w:rFonts w:eastAsia="Calibri"/>
          <w:sz w:val="24"/>
          <w:szCs w:val="24"/>
        </w:rPr>
        <w:t xml:space="preserve"> тыс. руб. или 9</w:t>
      </w:r>
      <w:r w:rsidR="00631B85" w:rsidRPr="00631B85">
        <w:rPr>
          <w:rFonts w:eastAsia="Calibri"/>
          <w:sz w:val="24"/>
          <w:szCs w:val="24"/>
        </w:rPr>
        <w:t>9,8</w:t>
      </w:r>
      <w:r w:rsidRPr="00631B85">
        <w:rPr>
          <w:rFonts w:eastAsia="Calibri"/>
          <w:sz w:val="24"/>
          <w:szCs w:val="24"/>
        </w:rPr>
        <w:t xml:space="preserve">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631B85">
        <w:rPr>
          <w:rFonts w:eastAsia="Calibri"/>
          <w:sz w:val="24"/>
          <w:szCs w:val="24"/>
        </w:rPr>
        <w:t xml:space="preserve">На выполнение мероприятий </w:t>
      </w:r>
      <w:r w:rsidRPr="00631B85">
        <w:rPr>
          <w:rFonts w:eastAsia="Calibri"/>
          <w:i/>
          <w:iCs/>
          <w:sz w:val="24"/>
          <w:szCs w:val="24"/>
        </w:rPr>
        <w:t>подпрограммы «Развитие культуры»</w:t>
      </w:r>
      <w:r w:rsidRPr="00631B85">
        <w:rPr>
          <w:rFonts w:eastAsia="Calibri"/>
          <w:sz w:val="24"/>
          <w:szCs w:val="24"/>
        </w:rPr>
        <w:t xml:space="preserve"> предусмотрено финансирование на 25736,2 тыс. руб., освоено на </w:t>
      </w:r>
      <w:r w:rsidR="00631B85" w:rsidRPr="00631B85">
        <w:rPr>
          <w:rFonts w:eastAsia="Calibri"/>
          <w:sz w:val="24"/>
          <w:szCs w:val="24"/>
        </w:rPr>
        <w:t>25666,1</w:t>
      </w:r>
      <w:r w:rsidRPr="00631B85">
        <w:rPr>
          <w:rFonts w:eastAsia="Calibri"/>
          <w:sz w:val="24"/>
          <w:szCs w:val="24"/>
        </w:rPr>
        <w:t xml:space="preserve"> тыс. руб. или 9</w:t>
      </w:r>
      <w:r w:rsidR="00631B85" w:rsidRPr="00631B85">
        <w:rPr>
          <w:rFonts w:eastAsia="Calibri"/>
          <w:sz w:val="24"/>
          <w:szCs w:val="24"/>
        </w:rPr>
        <w:t>9</w:t>
      </w:r>
      <w:r w:rsidRPr="00631B85">
        <w:rPr>
          <w:rFonts w:eastAsia="Calibri"/>
          <w:sz w:val="24"/>
          <w:szCs w:val="24"/>
        </w:rPr>
        <w:t>,</w:t>
      </w:r>
      <w:r w:rsidR="00631B85" w:rsidRPr="00631B85">
        <w:rPr>
          <w:rFonts w:eastAsia="Calibri"/>
          <w:sz w:val="24"/>
          <w:szCs w:val="24"/>
        </w:rPr>
        <w:t>7</w:t>
      </w:r>
      <w:r w:rsidRPr="00631B85">
        <w:rPr>
          <w:rFonts w:eastAsia="Calibri"/>
          <w:sz w:val="24"/>
          <w:szCs w:val="24"/>
        </w:rPr>
        <w:t xml:space="preserve"> %, в</w:t>
      </w:r>
      <w:r w:rsidRPr="00030B34">
        <w:rPr>
          <w:rFonts w:eastAsia="Calibri"/>
          <w:sz w:val="24"/>
          <w:szCs w:val="24"/>
        </w:rPr>
        <w:t xml:space="preserve"> </w:t>
      </w:r>
      <w:proofErr w:type="spellStart"/>
      <w:r w:rsidRPr="00030B34">
        <w:rPr>
          <w:rFonts w:eastAsia="Calibri"/>
          <w:sz w:val="24"/>
          <w:szCs w:val="24"/>
        </w:rPr>
        <w:t>т.ч</w:t>
      </w:r>
      <w:proofErr w:type="spellEnd"/>
      <w:r w:rsidRPr="00030B34">
        <w:rPr>
          <w:rFonts w:eastAsia="Calibri"/>
          <w:sz w:val="24"/>
          <w:szCs w:val="24"/>
        </w:rPr>
        <w:t>.: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на реализацию «Основного мероприятия 1 «Развитие библиотечного дела» запланировано 5467,2 тыс. руб. освоение средств 5417,2 тыс. руб. или 99,1 %. 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2. «</w:t>
      </w:r>
      <w:r w:rsidRPr="00030B34">
        <w:rPr>
          <w:rFonts w:eastAsia="Calibri"/>
          <w:sz w:val="24"/>
          <w:szCs w:val="24"/>
          <w:lang w:eastAsia="zh-CN"/>
        </w:rPr>
        <w:t>Развитие музейного дела</w:t>
      </w:r>
      <w:r w:rsidRPr="00030B34">
        <w:rPr>
          <w:rFonts w:eastAsia="Calibri"/>
          <w:sz w:val="24"/>
          <w:szCs w:val="24"/>
        </w:rPr>
        <w:t xml:space="preserve">» запланировано 532,8 тыс. руб. освоение средств 532,8 тыс. руб. или 100 %.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3 «</w:t>
      </w:r>
      <w:r w:rsidRPr="00030B34">
        <w:rPr>
          <w:rFonts w:eastAsia="Calibri"/>
          <w:sz w:val="24"/>
          <w:szCs w:val="24"/>
          <w:lang w:eastAsia="zh-CN"/>
        </w:rPr>
        <w:t>Сохранение и развитие народного творчества</w:t>
      </w:r>
      <w:r w:rsidRPr="00030B34">
        <w:rPr>
          <w:rFonts w:eastAsia="Calibri"/>
          <w:sz w:val="24"/>
          <w:szCs w:val="24"/>
        </w:rPr>
        <w:t xml:space="preserve">» запланировано </w:t>
      </w:r>
      <w:r w:rsidR="00904C97">
        <w:rPr>
          <w:rFonts w:eastAsia="Calibri"/>
          <w:sz w:val="24"/>
          <w:szCs w:val="24"/>
        </w:rPr>
        <w:t>16797,5</w:t>
      </w:r>
      <w:r w:rsidRPr="00030B34">
        <w:rPr>
          <w:rFonts w:eastAsia="Calibri"/>
          <w:sz w:val="24"/>
          <w:szCs w:val="24"/>
        </w:rPr>
        <w:t xml:space="preserve"> тыс. руб. освоение средств 16302,6 тыс. руб. или 98,2 %. 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4 «</w:t>
      </w:r>
      <w:r w:rsidRPr="00030B34">
        <w:rPr>
          <w:rFonts w:eastAsia="Calibri"/>
          <w:sz w:val="24"/>
          <w:szCs w:val="24"/>
          <w:lang w:eastAsia="zh-CN"/>
        </w:rPr>
        <w:t>Проведение мероприятий в сфере культуры и искусства, архивного дела</w:t>
      </w:r>
      <w:r w:rsidRPr="00030B34">
        <w:rPr>
          <w:rFonts w:eastAsia="Calibri"/>
          <w:sz w:val="24"/>
          <w:szCs w:val="24"/>
        </w:rPr>
        <w:t>» запланировано 400 тыс. руб. освоение средств 341,9 тыс. руб. или 99,1 %.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5 «</w:t>
      </w:r>
      <w:r w:rsidRPr="00030B34">
        <w:rPr>
          <w:rFonts w:eastAsia="Calibri"/>
          <w:sz w:val="24"/>
          <w:szCs w:val="24"/>
          <w:lang w:eastAsia="zh-CN"/>
        </w:rPr>
        <w:t>Развитие муниципальных учреждений культуры</w:t>
      </w:r>
      <w:r w:rsidRPr="00030B34">
        <w:rPr>
          <w:rFonts w:eastAsia="Calibri"/>
          <w:sz w:val="24"/>
          <w:szCs w:val="24"/>
        </w:rPr>
        <w:t>» запланировано 2453,7 тыс. руб. освоение средств 2453,7 тыс. руб. или 100 %.</w:t>
      </w:r>
    </w:p>
    <w:p w:rsidR="00697DC4" w:rsidRPr="00030B34" w:rsidRDefault="00697DC4" w:rsidP="004F5089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6 «</w:t>
      </w:r>
      <w:r w:rsidRPr="00030B34">
        <w:rPr>
          <w:rFonts w:eastAsia="Calibri"/>
          <w:sz w:val="24"/>
          <w:szCs w:val="24"/>
          <w:lang w:eastAsia="zh-CN"/>
        </w:rPr>
        <w:t>Реализация мероприятий регионального проекта «Творческие люди</w:t>
      </w:r>
      <w:r w:rsidRPr="00030B34">
        <w:rPr>
          <w:rFonts w:eastAsia="Calibri"/>
          <w:sz w:val="24"/>
          <w:szCs w:val="24"/>
        </w:rPr>
        <w:t xml:space="preserve">» запланировано 85 тыс. руб. освоение </w:t>
      </w:r>
      <w:r w:rsidR="004F5089" w:rsidRPr="00030B34">
        <w:rPr>
          <w:rFonts w:eastAsia="Calibri"/>
          <w:sz w:val="24"/>
          <w:szCs w:val="24"/>
        </w:rPr>
        <w:t>средств 85 тыс. руб. или 100 %.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На выполнение мероприятий </w:t>
      </w:r>
      <w:r w:rsidRPr="00030B34">
        <w:rPr>
          <w:rFonts w:eastAsia="Calibri"/>
          <w:i/>
          <w:iCs/>
          <w:sz w:val="24"/>
          <w:szCs w:val="24"/>
        </w:rPr>
        <w:t>подпрограммы «</w:t>
      </w:r>
      <w:r w:rsidRPr="00030B34">
        <w:rPr>
          <w:rFonts w:eastAsia="Calibri"/>
          <w:i/>
          <w:iCs/>
          <w:sz w:val="24"/>
          <w:szCs w:val="24"/>
          <w:lang w:eastAsia="zh-CN"/>
        </w:rPr>
        <w:t>Строительство реконструкция и модернизация учреждений культуры клубного типа государственная программа</w:t>
      </w:r>
      <w:r w:rsidR="00663C14" w:rsidRPr="00030B34">
        <w:rPr>
          <w:rFonts w:eastAsia="Calibri"/>
          <w:i/>
          <w:iCs/>
          <w:sz w:val="24"/>
          <w:szCs w:val="24"/>
          <w:lang w:eastAsia="zh-CN"/>
        </w:rPr>
        <w:t xml:space="preserve"> ЧР «Развитие культуры</w:t>
      </w:r>
      <w:r w:rsidRPr="00030B34">
        <w:rPr>
          <w:rFonts w:eastAsia="Calibri"/>
          <w:i/>
          <w:iCs/>
          <w:sz w:val="24"/>
          <w:szCs w:val="24"/>
        </w:rPr>
        <w:t>»</w:t>
      </w:r>
      <w:r w:rsidRPr="00030B34">
        <w:rPr>
          <w:rFonts w:eastAsia="Calibri"/>
          <w:sz w:val="24"/>
          <w:szCs w:val="24"/>
        </w:rPr>
        <w:t xml:space="preserve"> предусмотрено финансирование на 6252,9 тыс. руб., освоено на 6252,9 тыс. руб. или 100 %. </w:t>
      </w:r>
      <w:r w:rsidRPr="00030B34">
        <w:rPr>
          <w:rFonts w:eastAsia="Calibri"/>
          <w:sz w:val="24"/>
          <w:szCs w:val="24"/>
          <w:lang w:eastAsia="ar-SA"/>
        </w:rPr>
        <w:t xml:space="preserve">В рамках республиканской программы «Развитие культуры» </w:t>
      </w:r>
      <w:r w:rsidRPr="00030B34">
        <w:rPr>
          <w:rFonts w:eastAsia="Calibri"/>
          <w:sz w:val="24"/>
          <w:szCs w:val="24"/>
        </w:rPr>
        <w:t xml:space="preserve">проведен ремонт </w:t>
      </w:r>
      <w:proofErr w:type="spellStart"/>
      <w:r w:rsidRPr="00030B34">
        <w:rPr>
          <w:rFonts w:eastAsia="Calibri"/>
          <w:sz w:val="24"/>
          <w:szCs w:val="24"/>
        </w:rPr>
        <w:t>Убеевского</w:t>
      </w:r>
      <w:proofErr w:type="spellEnd"/>
      <w:r w:rsidRPr="00030B34">
        <w:rPr>
          <w:rFonts w:eastAsia="Calibri"/>
          <w:sz w:val="24"/>
          <w:szCs w:val="24"/>
        </w:rPr>
        <w:t xml:space="preserve"> центра досуга.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Обеспечение реализации муниципальной программы «Развитие культуры» предусмотрено финансирование на 2600,8 тыс. руб., освоено на 2660,8 тыс. руб. или 100 %.</w:t>
      </w:r>
    </w:p>
    <w:p w:rsidR="00697DC4" w:rsidRPr="00030B34" w:rsidRDefault="00697DC4" w:rsidP="003C3904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C161A0">
        <w:rPr>
          <w:rFonts w:eastAsia="Calibri"/>
          <w:color w:val="000000"/>
          <w:sz w:val="24"/>
          <w:szCs w:val="24"/>
          <w:lang w:val="x-none" w:eastAsia="x-none"/>
        </w:rPr>
        <w:t xml:space="preserve">В </w:t>
      </w:r>
      <w:r w:rsidRPr="00C161A0">
        <w:rPr>
          <w:rFonts w:eastAsia="Calibri"/>
          <w:color w:val="000000"/>
          <w:sz w:val="24"/>
          <w:szCs w:val="24"/>
          <w:lang w:eastAsia="x-none"/>
        </w:rPr>
        <w:t>2022</w:t>
      </w:r>
      <w:r w:rsidR="00030B34">
        <w:rPr>
          <w:rFonts w:eastAsia="Calibri"/>
          <w:color w:val="000000"/>
          <w:sz w:val="24"/>
          <w:szCs w:val="24"/>
          <w:lang w:eastAsia="x-none"/>
        </w:rPr>
        <w:t xml:space="preserve"> </w:t>
      </w:r>
      <w:r w:rsidRPr="00C161A0">
        <w:rPr>
          <w:rFonts w:eastAsia="Calibri"/>
          <w:color w:val="000000"/>
          <w:sz w:val="24"/>
          <w:szCs w:val="24"/>
          <w:lang w:val="x-none" w:eastAsia="x-none"/>
        </w:rPr>
        <w:t xml:space="preserve">году было рассмотрено 1134  запроса социально - правового характера и 56 тематических запросов. 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На  постоянное  хранение в отчетном периоде принято  606  дел управленческой  документации  и 144 документов по личному составу из 19  организаций.  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>Утверждены  описи дел организаций постоянного хранения  в количестве 765 документов,  по личному составу – 83.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За год </w:t>
      </w:r>
      <w:proofErr w:type="spellStart"/>
      <w:r w:rsidRPr="00C161A0">
        <w:rPr>
          <w:rFonts w:eastAsia="Calibri"/>
          <w:color w:val="000000"/>
          <w:sz w:val="24"/>
          <w:szCs w:val="24"/>
          <w:lang w:eastAsia="en-US"/>
        </w:rPr>
        <w:t>закартонировано</w:t>
      </w:r>
      <w:proofErr w:type="spellEnd"/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 750 ед. хр.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C161A0">
        <w:rPr>
          <w:rFonts w:eastAsia="Calibri"/>
          <w:sz w:val="24"/>
          <w:szCs w:val="24"/>
        </w:rPr>
        <w:t>На 1 января 2023 г. в архиве  числится 232 фонда, в них 39808 ед. хр., в том числе  документов  постоянного хранения – 29070, по личному составу 10729, документов личного происхождения - 9  документов.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161A0">
        <w:rPr>
          <w:rFonts w:eastAsia="Calibri"/>
          <w:sz w:val="24"/>
          <w:szCs w:val="24"/>
          <w:lang w:eastAsia="en-US"/>
        </w:rPr>
        <w:t xml:space="preserve">В соответствии с Регламентом государственного учета документов Архивного фонда Российской Федерации  в 2022 г. проведена паспортизация архивов 26 учреждений и организаций.   </w:t>
      </w:r>
      <w:r w:rsidRPr="00C161A0">
        <w:rPr>
          <w:sz w:val="24"/>
          <w:szCs w:val="24"/>
        </w:rPr>
        <w:t xml:space="preserve">  В них  хранятся  6168 ед.   документов постоянного хранения, </w:t>
      </w:r>
      <w:r w:rsidRPr="00C161A0">
        <w:rPr>
          <w:color w:val="000000"/>
          <w:sz w:val="24"/>
          <w:szCs w:val="24"/>
        </w:rPr>
        <w:t>по личному составу  10114 ед.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В течение года в архиве  занимались 14  исследователей, ими было использовано 169 архивных документов.  </w:t>
      </w:r>
    </w:p>
    <w:p w:rsidR="00C161A0" w:rsidRPr="00C161A0" w:rsidRDefault="00C161A0" w:rsidP="00473F7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61A0">
        <w:rPr>
          <w:rFonts w:eastAsia="Calibri"/>
          <w:sz w:val="24"/>
          <w:szCs w:val="24"/>
          <w:lang w:eastAsia="en-US"/>
        </w:rPr>
        <w:t xml:space="preserve">За отчетный период проведено 2670 мероприятий (на 513 мер. больше по </w:t>
      </w:r>
      <w:proofErr w:type="gramStart"/>
      <w:r w:rsidRPr="00C161A0">
        <w:rPr>
          <w:rFonts w:eastAsia="Calibri"/>
          <w:sz w:val="24"/>
          <w:szCs w:val="24"/>
          <w:lang w:eastAsia="en-US"/>
        </w:rPr>
        <w:t>уровню  2021</w:t>
      </w:r>
      <w:proofErr w:type="gramEnd"/>
      <w:r w:rsidRPr="00C161A0">
        <w:rPr>
          <w:rFonts w:eastAsia="Calibri"/>
          <w:sz w:val="24"/>
          <w:szCs w:val="24"/>
          <w:lang w:eastAsia="en-US"/>
        </w:rPr>
        <w:t xml:space="preserve">г.) в том числе </w:t>
      </w:r>
      <w:r w:rsidRPr="00C161A0">
        <w:rPr>
          <w:sz w:val="24"/>
          <w:szCs w:val="24"/>
        </w:rPr>
        <w:t xml:space="preserve">на платной основе – 198 мероприятий (на 25 мер. больше </w:t>
      </w:r>
      <w:r w:rsidRPr="00C161A0">
        <w:rPr>
          <w:rFonts w:eastAsia="Calibri"/>
          <w:sz w:val="24"/>
          <w:szCs w:val="24"/>
          <w:lang w:eastAsia="en-US"/>
        </w:rPr>
        <w:t>по уровню  2021г</w:t>
      </w:r>
      <w:r w:rsidRPr="00C161A0">
        <w:rPr>
          <w:sz w:val="24"/>
          <w:szCs w:val="24"/>
        </w:rPr>
        <w:t xml:space="preserve">.). </w:t>
      </w:r>
      <w:r w:rsidRPr="00C161A0">
        <w:rPr>
          <w:rFonts w:eastAsia="Calibri"/>
          <w:sz w:val="24"/>
          <w:szCs w:val="24"/>
          <w:lang w:eastAsia="en-US"/>
        </w:rPr>
        <w:t xml:space="preserve"> Всего участников составило 89 185 человек (больше 16 954 чел. по уровню  2021г.). </w:t>
      </w:r>
    </w:p>
    <w:p w:rsidR="007C3FC4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принимая участие  в республиканских конкурсах творческие коллективы районного дома культуры: народный хор, народный фольклорный коллектив «Трак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ансамбль народной музыки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Хавал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детский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Тантӑш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вокальный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Шетмӗ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 Исаковского центра досуга, 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Кӑмӑл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Досаевского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досуга, 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Телей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Чадукасинского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Кӑйкӑр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Шивбосинского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Упи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Убеевского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Мерчен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Алманчинского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 стали победителями республиканских конкурсах.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республиканском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Акатуй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заняли 2 место среди подворий районов и городов по оформлению Чувашского подворья.</w:t>
      </w:r>
    </w:p>
    <w:p w:rsidR="00F56FFA" w:rsidRPr="00C161A0" w:rsidRDefault="00F56FFA" w:rsidP="00473F73">
      <w:pPr>
        <w:pStyle w:val="ConsPlusNormal"/>
        <w:tabs>
          <w:tab w:val="left" w:pos="21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161A0" w:rsidRPr="00C161A0" w:rsidRDefault="00473F73" w:rsidP="00473F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C161A0" w:rsidRPr="00C161A0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161A0" w:rsidRPr="00C161A0">
        <w:rPr>
          <w:rFonts w:eastAsia="Calibri"/>
          <w:sz w:val="24"/>
          <w:szCs w:val="24"/>
          <w:lang w:eastAsia="en-US"/>
        </w:rPr>
        <w:t>147  клубных</w:t>
      </w:r>
      <w:proofErr w:type="gramEnd"/>
      <w:r w:rsidR="00C161A0" w:rsidRPr="00C161A0">
        <w:rPr>
          <w:rFonts w:eastAsia="Calibri"/>
          <w:sz w:val="24"/>
          <w:szCs w:val="24"/>
          <w:lang w:eastAsia="en-US"/>
        </w:rPr>
        <w:t xml:space="preserve"> формированиях повышают свое творческое мастерство 1817.    Клубные формирования для детей до 14 лет – </w:t>
      </w:r>
      <w:proofErr w:type="gramStart"/>
      <w:r w:rsidR="00C161A0" w:rsidRPr="00C161A0">
        <w:rPr>
          <w:rFonts w:eastAsia="Calibri"/>
          <w:sz w:val="24"/>
          <w:szCs w:val="24"/>
          <w:lang w:eastAsia="en-US"/>
        </w:rPr>
        <w:t>62,  в</w:t>
      </w:r>
      <w:proofErr w:type="gramEnd"/>
      <w:r w:rsidR="00C161A0" w:rsidRPr="00C161A0">
        <w:rPr>
          <w:rFonts w:eastAsia="Calibri"/>
          <w:sz w:val="24"/>
          <w:szCs w:val="24"/>
          <w:lang w:eastAsia="en-US"/>
        </w:rPr>
        <w:t xml:space="preserve"> них участников 791   Для молодежи от 14 до 35 лет – 20  в них участников 237 человек  </w:t>
      </w:r>
    </w:p>
    <w:p w:rsidR="002316E6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общего количества клубных формирований </w:t>
      </w:r>
      <w:proofErr w:type="gram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94  ед.</w:t>
      </w:r>
      <w:proofErr w:type="gram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самодеятельного народного творчества, в них участников – 1040 человек.   Со званием «народный» 9  коллективов.</w:t>
      </w:r>
    </w:p>
    <w:p w:rsidR="00C161A0" w:rsidRPr="00C161A0" w:rsidRDefault="00C161A0" w:rsidP="00473F73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</w:rPr>
        <w:t xml:space="preserve">В 2022 году услугами библиотек воспользовались </w:t>
      </w:r>
      <w:r w:rsidRPr="00C161A0">
        <w:rPr>
          <w:sz w:val="24"/>
          <w:szCs w:val="24"/>
        </w:rPr>
        <w:t xml:space="preserve">11579 </w:t>
      </w:r>
      <w:r w:rsidRPr="00C161A0">
        <w:rPr>
          <w:rFonts w:eastAsia="Calibri"/>
          <w:sz w:val="24"/>
          <w:szCs w:val="24"/>
        </w:rPr>
        <w:t xml:space="preserve">человек. </w:t>
      </w:r>
      <w:r w:rsidRPr="00C161A0">
        <w:rPr>
          <w:sz w:val="24"/>
          <w:szCs w:val="24"/>
        </w:rPr>
        <w:t xml:space="preserve">По сравнению с 2021 г. число пользователей увеличилось на 8,6% </w:t>
      </w:r>
      <w:r w:rsidRPr="00C161A0">
        <w:rPr>
          <w:i/>
          <w:sz w:val="24"/>
          <w:szCs w:val="24"/>
        </w:rPr>
        <w:t>(в 2021 г. – 10661 чел.).</w:t>
      </w:r>
    </w:p>
    <w:p w:rsidR="00C161A0" w:rsidRPr="00C161A0" w:rsidRDefault="00C161A0" w:rsidP="00473F73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</w:rPr>
        <w:t xml:space="preserve">Выдано </w:t>
      </w:r>
      <w:r w:rsidRPr="00C161A0">
        <w:rPr>
          <w:sz w:val="24"/>
          <w:szCs w:val="24"/>
        </w:rPr>
        <w:t>220 847</w:t>
      </w:r>
      <w:r w:rsidRPr="00C161A0">
        <w:rPr>
          <w:sz w:val="24"/>
          <w:szCs w:val="24"/>
          <w:lang w:eastAsia="zh-CN"/>
        </w:rPr>
        <w:t xml:space="preserve"> </w:t>
      </w:r>
      <w:r w:rsidRPr="00C161A0">
        <w:rPr>
          <w:rFonts w:eastAsia="Calibri"/>
          <w:sz w:val="24"/>
          <w:szCs w:val="24"/>
        </w:rPr>
        <w:t xml:space="preserve">экземпляров документов, </w:t>
      </w:r>
      <w:r w:rsidRPr="00C161A0">
        <w:rPr>
          <w:sz w:val="24"/>
          <w:szCs w:val="24"/>
        </w:rPr>
        <w:t xml:space="preserve">на </w:t>
      </w:r>
      <w:r w:rsidRPr="00C161A0">
        <w:rPr>
          <w:sz w:val="24"/>
          <w:szCs w:val="24"/>
          <w:lang w:eastAsia="zh-CN"/>
        </w:rPr>
        <w:t xml:space="preserve">21,6% </w:t>
      </w:r>
      <w:r w:rsidRPr="00C161A0">
        <w:rPr>
          <w:sz w:val="24"/>
          <w:szCs w:val="24"/>
        </w:rPr>
        <w:t xml:space="preserve">больше 2021 года. </w:t>
      </w:r>
      <w:r w:rsidRPr="00C161A0">
        <w:rPr>
          <w:sz w:val="24"/>
          <w:szCs w:val="24"/>
          <w:lang w:eastAsia="zh-CN"/>
        </w:rPr>
        <w:t xml:space="preserve"> </w:t>
      </w:r>
      <w:r w:rsidRPr="00C161A0">
        <w:rPr>
          <w:i/>
          <w:sz w:val="24"/>
          <w:szCs w:val="24"/>
        </w:rPr>
        <w:t>(2021 г. - 181537экз.)</w:t>
      </w:r>
      <w:r w:rsidRPr="00C161A0">
        <w:rPr>
          <w:sz w:val="24"/>
          <w:szCs w:val="24"/>
        </w:rPr>
        <w:t xml:space="preserve"> </w:t>
      </w:r>
    </w:p>
    <w:p w:rsidR="00C161A0" w:rsidRPr="00C161A0" w:rsidRDefault="00C161A0" w:rsidP="00473F73">
      <w:pPr>
        <w:suppressAutoHyphens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  <w:lang w:eastAsia="zh-CN"/>
        </w:rPr>
        <w:t xml:space="preserve">Библиотечным обслуживанием охвачено </w:t>
      </w:r>
      <w:r w:rsidRPr="00C161A0">
        <w:rPr>
          <w:rFonts w:eastAsia="BookmanOldStyle-BoldItalic"/>
          <w:sz w:val="24"/>
          <w:szCs w:val="24"/>
          <w:lang w:eastAsia="zh-CN"/>
        </w:rPr>
        <w:t>86,7% населения</w:t>
      </w:r>
      <w:r w:rsidRPr="00C161A0">
        <w:rPr>
          <w:rFonts w:eastAsia="Calibri"/>
          <w:sz w:val="24"/>
          <w:szCs w:val="24"/>
          <w:lang w:eastAsia="zh-CN"/>
        </w:rPr>
        <w:t xml:space="preserve">, на 8,1 </w:t>
      </w:r>
      <w:proofErr w:type="gramStart"/>
      <w:r w:rsidRPr="00C161A0">
        <w:rPr>
          <w:rFonts w:eastAsia="Calibri"/>
          <w:sz w:val="24"/>
          <w:szCs w:val="24"/>
          <w:lang w:eastAsia="zh-CN"/>
        </w:rPr>
        <w:t>%  выше</w:t>
      </w:r>
      <w:proofErr w:type="gramEnd"/>
      <w:r w:rsidRPr="00C161A0">
        <w:rPr>
          <w:rFonts w:eastAsia="Calibri"/>
          <w:sz w:val="24"/>
          <w:szCs w:val="24"/>
          <w:lang w:eastAsia="zh-CN"/>
        </w:rPr>
        <w:t xml:space="preserve">  2021 года. (2021 г. - </w:t>
      </w:r>
      <w:r w:rsidRPr="00C161A0">
        <w:rPr>
          <w:rFonts w:eastAsia="BookmanOldStyle-BoldItalic"/>
          <w:sz w:val="24"/>
          <w:szCs w:val="24"/>
          <w:lang w:eastAsia="zh-CN"/>
        </w:rPr>
        <w:t>78,6 %</w:t>
      </w:r>
      <w:r w:rsidRPr="00C161A0">
        <w:rPr>
          <w:rFonts w:eastAsia="Calibri"/>
          <w:sz w:val="24"/>
          <w:szCs w:val="24"/>
          <w:lang w:eastAsia="zh-CN"/>
        </w:rPr>
        <w:t>).</w:t>
      </w:r>
      <w:r w:rsidRPr="00C161A0">
        <w:rPr>
          <w:sz w:val="24"/>
          <w:szCs w:val="24"/>
          <w:lang w:eastAsia="zh-CN"/>
        </w:rPr>
        <w:t xml:space="preserve"> </w:t>
      </w:r>
    </w:p>
    <w:p w:rsidR="00C161A0" w:rsidRPr="00C161A0" w:rsidRDefault="00C161A0" w:rsidP="00473F73">
      <w:pPr>
        <w:tabs>
          <w:tab w:val="left" w:pos="851"/>
        </w:tabs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sz w:val="24"/>
          <w:szCs w:val="24"/>
        </w:rPr>
        <w:t>Доля детского фонда в общем объеме фонда библиотек составила 33,1</w:t>
      </w:r>
      <w:proofErr w:type="gramStart"/>
      <w:r w:rsidRPr="00C161A0">
        <w:rPr>
          <w:sz w:val="24"/>
          <w:szCs w:val="24"/>
        </w:rPr>
        <w:t>% ,</w:t>
      </w:r>
      <w:proofErr w:type="gramEnd"/>
      <w:r w:rsidRPr="00C161A0">
        <w:rPr>
          <w:sz w:val="24"/>
          <w:szCs w:val="24"/>
        </w:rPr>
        <w:t xml:space="preserve"> при нормативе не менее 30 %.  (2021 г.-31,6%)</w:t>
      </w:r>
    </w:p>
    <w:p w:rsidR="00C161A0" w:rsidRPr="00C161A0" w:rsidRDefault="00C161A0" w:rsidP="00473F73">
      <w:pPr>
        <w:tabs>
          <w:tab w:val="left" w:pos="851"/>
        </w:tabs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spellStart"/>
      <w:r w:rsidRPr="00C161A0">
        <w:rPr>
          <w:sz w:val="24"/>
          <w:szCs w:val="24"/>
        </w:rPr>
        <w:t>Документообеспеченность</w:t>
      </w:r>
      <w:proofErr w:type="spellEnd"/>
      <w:r w:rsidRPr="00C161A0">
        <w:rPr>
          <w:sz w:val="24"/>
          <w:szCs w:val="24"/>
        </w:rPr>
        <w:t xml:space="preserve"> на одного жителя - 9,2 экз. </w:t>
      </w:r>
      <w:r w:rsidRPr="00C161A0">
        <w:rPr>
          <w:i/>
          <w:sz w:val="24"/>
          <w:szCs w:val="24"/>
        </w:rPr>
        <w:t xml:space="preserve">при нормативе – 7-9 </w:t>
      </w:r>
      <w:proofErr w:type="spellStart"/>
      <w:r w:rsidRPr="00C161A0">
        <w:rPr>
          <w:i/>
          <w:sz w:val="24"/>
          <w:szCs w:val="24"/>
        </w:rPr>
        <w:t>экз</w:t>
      </w:r>
      <w:proofErr w:type="spellEnd"/>
      <w:r w:rsidRPr="00C161A0">
        <w:rPr>
          <w:i/>
          <w:sz w:val="24"/>
          <w:szCs w:val="24"/>
        </w:rPr>
        <w:t>,</w:t>
      </w:r>
      <w:r w:rsidRPr="00C161A0">
        <w:rPr>
          <w:sz w:val="24"/>
          <w:szCs w:val="24"/>
        </w:rPr>
        <w:t xml:space="preserve"> коэффициент </w:t>
      </w:r>
      <w:proofErr w:type="spellStart"/>
      <w:r w:rsidRPr="00C161A0">
        <w:rPr>
          <w:sz w:val="24"/>
          <w:szCs w:val="24"/>
        </w:rPr>
        <w:t>обновляемости</w:t>
      </w:r>
      <w:proofErr w:type="spellEnd"/>
      <w:r w:rsidRPr="00C161A0">
        <w:rPr>
          <w:sz w:val="24"/>
          <w:szCs w:val="24"/>
        </w:rPr>
        <w:t xml:space="preserve"> – 2,5% (2021 - </w:t>
      </w:r>
      <w:r w:rsidRPr="00C161A0">
        <w:rPr>
          <w:rFonts w:eastAsia="Calibri"/>
          <w:sz w:val="24"/>
          <w:szCs w:val="24"/>
          <w:lang w:eastAsia="zh-CN"/>
        </w:rPr>
        <w:t>2,9%).</w:t>
      </w:r>
      <w:r w:rsidRPr="00C161A0">
        <w:rPr>
          <w:i/>
          <w:sz w:val="24"/>
          <w:szCs w:val="24"/>
        </w:rPr>
        <w:t xml:space="preserve"> </w:t>
      </w:r>
    </w:p>
    <w:p w:rsidR="00C161A0" w:rsidRPr="00C161A0" w:rsidRDefault="00C161A0" w:rsidP="00473F73">
      <w:pPr>
        <w:tabs>
          <w:tab w:val="left" w:pos="851"/>
        </w:tabs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gramStart"/>
      <w:r w:rsidRPr="00C161A0">
        <w:rPr>
          <w:sz w:val="24"/>
          <w:szCs w:val="24"/>
        </w:rPr>
        <w:t>Доля  библиотечного</w:t>
      </w:r>
      <w:proofErr w:type="gramEnd"/>
      <w:r w:rsidRPr="00C161A0">
        <w:rPr>
          <w:sz w:val="24"/>
          <w:szCs w:val="24"/>
        </w:rPr>
        <w:t xml:space="preserve"> фонда, отраженного в электронном каталоге 100%. </w:t>
      </w:r>
    </w:p>
    <w:p w:rsidR="00C161A0" w:rsidRPr="00C161A0" w:rsidRDefault="00C161A0" w:rsidP="00473F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61A0">
        <w:rPr>
          <w:rFonts w:eastAsia="Calibri"/>
          <w:sz w:val="24"/>
          <w:szCs w:val="24"/>
          <w:lang w:eastAsia="zh-CN"/>
        </w:rPr>
        <w:t>В течение года оцифровано 8 краеведческих изданий и на данный период составляет 39 экз., которые представлены на сайте ЦБС.</w:t>
      </w:r>
      <w:r w:rsidRPr="00C161A0">
        <w:rPr>
          <w:rFonts w:eastAsia="Calibri"/>
          <w:sz w:val="24"/>
          <w:szCs w:val="24"/>
          <w:lang w:eastAsia="en-US"/>
        </w:rPr>
        <w:t xml:space="preserve"> 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9 библиотечных программ и проектов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161A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рамках Года культурного наследия народов России   проведено учреждениями культуры более 350 мероприятий.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61A0">
        <w:rPr>
          <w:rFonts w:ascii="Times New Roman" w:hAnsi="Times New Roman"/>
          <w:sz w:val="24"/>
          <w:szCs w:val="24"/>
          <w:lang w:eastAsia="zh-CN"/>
        </w:rPr>
        <w:t>В рамках Года выдающихся земляков в Чувашской Республике учреждениями культуры организовано и проведено более 600 мероприятий.</w:t>
      </w:r>
    </w:p>
    <w:p w:rsidR="00C161A0" w:rsidRPr="004D476F" w:rsidRDefault="00C161A0" w:rsidP="00C161A0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33"/>
      <w:bookmarkEnd w:id="0"/>
      <w:r w:rsidRPr="00473F7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о достижении значений целевых индикаторов и показателей</w:t>
      </w: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муниципальной программы Красноармейского муниципального округа,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</w:t>
      </w:r>
      <w:r w:rsidR="00473F73" w:rsidRPr="004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F73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 Чувашской Республики (программ)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851"/>
        <w:gridCol w:w="709"/>
        <w:gridCol w:w="850"/>
        <w:gridCol w:w="851"/>
        <w:gridCol w:w="850"/>
        <w:gridCol w:w="1275"/>
      </w:tblGrid>
      <w:tr w:rsidR="002316E6" w:rsidRPr="005D482C" w:rsidTr="00F72C36">
        <w:tc>
          <w:tcPr>
            <w:tcW w:w="629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N</w:t>
            </w:r>
          </w:p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28B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134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1" w:type="dxa"/>
            <w:gridSpan w:val="4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850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75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2316E6" w:rsidRPr="005D482C" w:rsidTr="00F72C36">
        <w:tc>
          <w:tcPr>
            <w:tcW w:w="62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 &lt;*&gt;</w:t>
            </w:r>
          </w:p>
        </w:tc>
        <w:tc>
          <w:tcPr>
            <w:tcW w:w="2410" w:type="dxa"/>
            <w:gridSpan w:val="3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850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2316E6" w:rsidRPr="005D482C" w:rsidTr="00F72C36">
        <w:tc>
          <w:tcPr>
            <w:tcW w:w="62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первоначальный план</w:t>
            </w:r>
          </w:p>
        </w:tc>
        <w:tc>
          <w:tcPr>
            <w:tcW w:w="850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уточненный план</w:t>
            </w:r>
          </w:p>
        </w:tc>
        <w:tc>
          <w:tcPr>
            <w:tcW w:w="851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2316E6" w:rsidRPr="005D482C" w:rsidTr="00473F73">
        <w:trPr>
          <w:trHeight w:val="582"/>
        </w:trPr>
        <w:tc>
          <w:tcPr>
            <w:tcW w:w="629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</w:tcPr>
          <w:p w:rsidR="002316E6" w:rsidRPr="005D482C" w:rsidRDefault="00EA2347" w:rsidP="00473F73">
            <w:pPr>
              <w:pStyle w:val="ConsPlusNormal"/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Красноармейского муниципального округа Чувашской Республики «Развитие культуры»</w:t>
            </w:r>
          </w:p>
        </w:tc>
      </w:tr>
      <w:tr w:rsidR="00EA2347" w:rsidRPr="005D482C" w:rsidTr="00F72C36">
        <w:tc>
          <w:tcPr>
            <w:tcW w:w="629" w:type="dxa"/>
          </w:tcPr>
          <w:p w:rsidR="00EA2347" w:rsidRPr="005D482C" w:rsidRDefault="00EA2347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EA2347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Целевой индикатор</w:t>
            </w:r>
          </w:p>
        </w:tc>
        <w:tc>
          <w:tcPr>
            <w:tcW w:w="1134" w:type="dxa"/>
          </w:tcPr>
          <w:p w:rsidR="00EA2347" w:rsidRPr="00F20C8A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 %</w:t>
            </w:r>
          </w:p>
        </w:tc>
        <w:tc>
          <w:tcPr>
            <w:tcW w:w="851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EA2347" w:rsidRPr="00F20C8A" w:rsidRDefault="00F72C36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A2347" w:rsidRPr="00F20C8A" w:rsidRDefault="00F72C36" w:rsidP="00FC1DAB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C1DAB">
              <w:t>3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%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85,7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85,8</w:t>
            </w:r>
          </w:p>
        </w:tc>
        <w:tc>
          <w:tcPr>
            <w:tcW w:w="850" w:type="dxa"/>
          </w:tcPr>
          <w:p w:rsidR="00EC4650" w:rsidRPr="00F20C8A" w:rsidRDefault="00EC4650" w:rsidP="00F55C58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F55C58">
              <w:t>8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85,8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85,9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Увеличение числа посещений организаций культуры</w:t>
            </w:r>
          </w:p>
        </w:tc>
        <w:tc>
          <w:tcPr>
            <w:tcW w:w="1134" w:type="dxa"/>
          </w:tcPr>
          <w:p w:rsidR="00EC4650" w:rsidRPr="00733AEB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4,0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EC4650" w:rsidRPr="00F20C8A">
              <w:t>,0</w:t>
            </w:r>
          </w:p>
        </w:tc>
        <w:tc>
          <w:tcPr>
            <w:tcW w:w="850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EC4650">
              <w:t>,0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6,0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 w:rsidRPr="00F20C8A">
              <w:t>8,0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Увеличение числа обращений к цифровым ресурсам культуры</w:t>
            </w:r>
          </w:p>
        </w:tc>
        <w:tc>
          <w:tcPr>
            <w:tcW w:w="1134" w:type="dxa"/>
          </w:tcPr>
          <w:p w:rsidR="00EC4650" w:rsidRPr="00733AEB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EC4650" w:rsidRPr="00F20C8A">
              <w:t>0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 w:rsidRPr="00F20C8A">
              <w:t>0</w:t>
            </w:r>
          </w:p>
        </w:tc>
        <w:tc>
          <w:tcPr>
            <w:tcW w:w="850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>
              <w:t>0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>
              <w:t>0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 w:rsidRPr="00F20C8A">
              <w:t>40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муниципальной программы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культуры»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104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106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  <w:tc>
          <w:tcPr>
            <w:tcW w:w="851" w:type="dxa"/>
          </w:tcPr>
          <w:p w:rsidR="00F72C36" w:rsidRPr="00F20C8A" w:rsidRDefault="00F72C36" w:rsidP="00F55C58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F55C58">
              <w:t>6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единиц</w:t>
            </w:r>
          </w:p>
        </w:tc>
        <w:tc>
          <w:tcPr>
            <w:tcW w:w="851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13,3</w:t>
            </w:r>
          </w:p>
        </w:tc>
        <w:tc>
          <w:tcPr>
            <w:tcW w:w="709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13,5</w:t>
            </w:r>
          </w:p>
        </w:tc>
        <w:tc>
          <w:tcPr>
            <w:tcW w:w="850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F72C36" w:rsidRPr="00F20C8A" w:rsidRDefault="00F72C36" w:rsidP="00F55C58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13,</w:t>
            </w:r>
            <w:r w:rsidR="00F55C58">
              <w:t>5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13,7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38,1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38,1</w:t>
            </w:r>
          </w:p>
        </w:tc>
        <w:tc>
          <w:tcPr>
            <w:tcW w:w="850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38,1</w:t>
            </w:r>
          </w:p>
        </w:tc>
        <w:tc>
          <w:tcPr>
            <w:tcW w:w="851" w:type="dxa"/>
          </w:tcPr>
          <w:p w:rsidR="00F72C36" w:rsidRPr="00F20C8A" w:rsidRDefault="003922B3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</w:t>
            </w:r>
            <w:r w:rsidR="00F72C36" w:rsidRPr="00F20C8A">
              <w:t>,</w:t>
            </w:r>
            <w:r>
              <w:t>1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42,8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музеев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106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6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6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Посещаемость муниципальных музеев (на 1 жителя в год)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единиц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709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3922B3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>
              <w:t>115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</w:t>
            </w:r>
            <w:r w:rsidR="003922B3">
              <w:t>0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</w:t>
            </w:r>
            <w:r w:rsidR="003922B3">
              <w:t>20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</w:t>
            </w:r>
            <w:r w:rsidR="003922B3">
              <w:t>0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125,0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участников клубных формирований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103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104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105,0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документов муниципальных ар</w:t>
            </w:r>
            <w:r w:rsidRPr="00F20C8A">
              <w:rPr>
                <w:rFonts w:eastAsia="Calibri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47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59,0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принятых в муниципальные ар</w:t>
            </w:r>
            <w:r w:rsidRPr="00F20C8A">
              <w:rPr>
                <w:rFonts w:eastAsia="Calibri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F20C8A">
              <w:rPr>
                <w:rFonts w:eastAsia="Calibri"/>
              </w:rPr>
              <w:softHyphen/>
              <w:t>лежащей приему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709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Среднее число пользователей архивной информацией на </w:t>
            </w:r>
            <w:r w:rsidRPr="00F20C8A">
              <w:rPr>
                <w:rFonts w:eastAsia="Calibri"/>
              </w:rPr>
              <w:br/>
              <w:t>1 тыс. человек населения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человек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74</w:t>
            </w:r>
            <w:r w:rsidR="00F72C36" w:rsidRPr="00F20C8A">
              <w:t>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0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780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49,5</w:t>
            </w:r>
          </w:p>
        </w:tc>
        <w:tc>
          <w:tcPr>
            <w:tcW w:w="709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50,5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экземпляров</w:t>
            </w:r>
          </w:p>
        </w:tc>
        <w:tc>
          <w:tcPr>
            <w:tcW w:w="851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125,7</w:t>
            </w:r>
          </w:p>
        </w:tc>
        <w:tc>
          <w:tcPr>
            <w:tcW w:w="709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0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1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125,9</w:t>
            </w:r>
          </w:p>
        </w:tc>
      </w:tr>
      <w:tr w:rsidR="00B46164" w:rsidRPr="005D482C" w:rsidTr="00852E3F">
        <w:tc>
          <w:tcPr>
            <w:tcW w:w="10268" w:type="dxa"/>
            <w:gridSpan w:val="9"/>
          </w:tcPr>
          <w:p w:rsidR="00B46164" w:rsidRPr="00F20C8A" w:rsidRDefault="00B46164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DD4B2E">
              <w:rPr>
                <w:sz w:val="22"/>
                <w:szCs w:val="22"/>
              </w:rPr>
              <w:t>Подпрограмма «</w:t>
            </w:r>
            <w:r w:rsidRPr="00DD4B2E">
              <w:rPr>
                <w:rFonts w:eastAsia="Calibri"/>
                <w:sz w:val="22"/>
                <w:szCs w:val="22"/>
              </w:rPr>
              <w:t>Укрепление единства российской нации и этнокультурное развитие народов</w:t>
            </w:r>
            <w:r w:rsidRPr="00DD4B2E">
              <w:rPr>
                <w:rFonts w:eastAsia="Calibri"/>
              </w:rPr>
              <w:t>»</w:t>
            </w:r>
          </w:p>
        </w:tc>
      </w:tr>
      <w:tr w:rsidR="00B46164" w:rsidRPr="005D482C" w:rsidTr="00F72C36">
        <w:tc>
          <w:tcPr>
            <w:tcW w:w="629" w:type="dxa"/>
          </w:tcPr>
          <w:p w:rsidR="00B46164" w:rsidRDefault="00B4616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highlight w:val="yellow"/>
              </w:rPr>
            </w:pPr>
            <w:r w:rsidRPr="00F20C8A">
              <w:rPr>
                <w:rFonts w:eastAsia="Calibri"/>
              </w:rPr>
              <w:t>Доля граждан, положительно оцениваю</w:t>
            </w:r>
            <w:r w:rsidRPr="00F20C8A">
              <w:rPr>
                <w:rFonts w:eastAsia="Calibri"/>
              </w:rPr>
              <w:softHyphen/>
              <w:t>щих состояние межнациональных отношений, в общей численности граждан Российской Федерации, проживающих в Красноармейском районе</w:t>
            </w:r>
          </w:p>
        </w:tc>
        <w:tc>
          <w:tcPr>
            <w:tcW w:w="1134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%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88,1</w:t>
            </w:r>
          </w:p>
        </w:tc>
        <w:tc>
          <w:tcPr>
            <w:tcW w:w="709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0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0" w:type="dxa"/>
          </w:tcPr>
          <w:p w:rsidR="00B46164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88,3</w:t>
            </w:r>
          </w:p>
        </w:tc>
      </w:tr>
      <w:tr w:rsidR="00B46164" w:rsidRPr="005D482C" w:rsidTr="00F72C36">
        <w:tc>
          <w:tcPr>
            <w:tcW w:w="629" w:type="dxa"/>
          </w:tcPr>
          <w:p w:rsidR="00B46164" w:rsidRDefault="00B4616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участников мероприятий, направленных на ук</w:t>
            </w:r>
            <w:r w:rsidRPr="00F20C8A">
              <w:rPr>
                <w:rFonts w:eastAsia="Calibri"/>
              </w:rPr>
              <w:softHyphen/>
              <w:t>репление общероссийского гражданского единства</w:t>
            </w:r>
          </w:p>
        </w:tc>
        <w:tc>
          <w:tcPr>
            <w:tcW w:w="1134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человек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60</w:t>
            </w:r>
            <w:r w:rsidR="00B46164" w:rsidRPr="00F20C8A">
              <w:t>0</w:t>
            </w:r>
          </w:p>
        </w:tc>
        <w:tc>
          <w:tcPr>
            <w:tcW w:w="709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</w:t>
            </w:r>
            <w:r w:rsidR="00F73ED2">
              <w:t>0</w:t>
            </w:r>
          </w:p>
        </w:tc>
        <w:tc>
          <w:tcPr>
            <w:tcW w:w="850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</w:t>
            </w:r>
            <w:r w:rsidR="00F73ED2">
              <w:t>0</w:t>
            </w:r>
          </w:p>
        </w:tc>
        <w:tc>
          <w:tcPr>
            <w:tcW w:w="851" w:type="dxa"/>
          </w:tcPr>
          <w:p w:rsidR="00B46164" w:rsidRPr="00F20C8A" w:rsidRDefault="007A5CE6" w:rsidP="007A5CE6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620</w:t>
            </w:r>
          </w:p>
        </w:tc>
        <w:tc>
          <w:tcPr>
            <w:tcW w:w="850" w:type="dxa"/>
          </w:tcPr>
          <w:p w:rsidR="00B46164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46164" w:rsidRPr="00F20C8A" w:rsidRDefault="00F73ED2" w:rsidP="00117750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</w:t>
            </w:r>
            <w:r w:rsidR="007A5CE6">
              <w:t>40</w:t>
            </w:r>
          </w:p>
        </w:tc>
      </w:tr>
    </w:tbl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F72C36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34" w:rsidRDefault="00030B34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604"/>
      <w:bookmarkEnd w:id="1"/>
      <w:r w:rsidRPr="00473F7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316E6" w:rsidRPr="00473F73" w:rsidRDefault="002316E6" w:rsidP="00473F73">
      <w:pPr>
        <w:pStyle w:val="ConsPlusNormal"/>
        <w:tabs>
          <w:tab w:val="left" w:pos="218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73">
        <w:rPr>
          <w:rFonts w:ascii="Times New Roman" w:hAnsi="Times New Roman" w:cs="Times New Roman"/>
          <w:b/>
          <w:sz w:val="26"/>
          <w:szCs w:val="26"/>
        </w:rPr>
        <w:t>о реализации муниципальн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>ой</w:t>
      </w:r>
      <w:r w:rsidRPr="00473F7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>ы</w:t>
      </w:r>
      <w:r w:rsidR="00473F73" w:rsidRPr="00473F73">
        <w:rPr>
          <w:rFonts w:ascii="Times New Roman" w:hAnsi="Times New Roman" w:cs="Times New Roman"/>
          <w:b/>
          <w:sz w:val="26"/>
          <w:szCs w:val="26"/>
        </w:rPr>
        <w:t xml:space="preserve"> «Развитие культуры»</w:t>
      </w:r>
      <w:r w:rsidR="00473F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3F73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 xml:space="preserve"> 2022 </w:t>
      </w:r>
      <w:r w:rsidRPr="00473F7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1984"/>
        <w:gridCol w:w="851"/>
        <w:gridCol w:w="850"/>
        <w:gridCol w:w="851"/>
        <w:gridCol w:w="1134"/>
        <w:gridCol w:w="1276"/>
      </w:tblGrid>
      <w:tr w:rsidR="002316E6" w:rsidRPr="00E71E94" w:rsidTr="00B46164">
        <w:trPr>
          <w:trHeight w:val="3002"/>
        </w:trPr>
        <w:tc>
          <w:tcPr>
            <w:tcW w:w="1419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12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198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План, тыс. руб. &lt;*&gt;</w:t>
            </w:r>
          </w:p>
        </w:tc>
        <w:tc>
          <w:tcPr>
            <w:tcW w:w="850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Фактические расходы, тыс. руб. &lt;**&gt;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13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127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2316E6" w:rsidRPr="00E71E94" w:rsidTr="00B46164">
        <w:tc>
          <w:tcPr>
            <w:tcW w:w="1419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16C1" w:rsidRPr="00E71E94" w:rsidTr="00665D63">
        <w:trPr>
          <w:trHeight w:val="273"/>
        </w:trPr>
        <w:tc>
          <w:tcPr>
            <w:tcW w:w="1419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2126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Муниципальная программа Красноармейского муниципального округа Чувашской Республики «Развитие культуры»</w:t>
            </w:r>
          </w:p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34 589,9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jc w:val="right"/>
              <w:rPr>
                <w:rFonts w:eastAsia="Calibri"/>
                <w:color w:val="FF0000"/>
              </w:rPr>
            </w:pPr>
            <w:r w:rsidRPr="007516C1">
              <w:rPr>
                <w:rFonts w:eastAsia="Calibri"/>
              </w:rPr>
              <w:t>34519,0</w:t>
            </w:r>
          </w:p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7571,6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7571,6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26131,8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25838,8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665D63" w:rsidRDefault="007516C1" w:rsidP="007516C1">
            <w:pPr>
              <w:tabs>
                <w:tab w:val="left" w:pos="2184"/>
              </w:tabs>
              <w:jc w:val="both"/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F812A7">
        <w:trPr>
          <w:trHeight w:val="163"/>
        </w:trPr>
        <w:tc>
          <w:tcPr>
            <w:tcW w:w="1419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Развитие культуры</w:t>
            </w:r>
          </w:p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eastAsia="Calibri" w:hAnsi="Times New Roman" w:cs="Times New Roman"/>
              </w:rPr>
              <w:t>25736,2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eastAsia="Calibri" w:hAnsi="Times New Roman" w:cs="Times New Roman"/>
              </w:rPr>
              <w:t>25666,1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выполнено  </w:t>
            </w:r>
          </w:p>
        </w:tc>
        <w:tc>
          <w:tcPr>
            <w:tcW w:w="1276" w:type="dxa"/>
          </w:tcPr>
          <w:p w:rsidR="007516C1" w:rsidRPr="00E71E94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516C1" w:rsidRPr="00E71E94" w:rsidTr="00F812A7">
        <w:trPr>
          <w:trHeight w:val="269"/>
        </w:trPr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1756,4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1756,4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23093,3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22801,1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98,7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665D63" w:rsidRDefault="007516C1" w:rsidP="00631B85">
            <w:pPr>
              <w:tabs>
                <w:tab w:val="left" w:pos="2184"/>
              </w:tabs>
              <w:jc w:val="both"/>
            </w:pPr>
            <w:r w:rsidRPr="00665D63">
              <w:t xml:space="preserve">Не освоено в связи с вакантными должностями на  </w:t>
            </w:r>
            <w:r>
              <w:t xml:space="preserve">4,75 </w:t>
            </w:r>
            <w:proofErr w:type="spellStart"/>
            <w:r w:rsidRPr="00665D63">
              <w:t>шт.ед</w:t>
            </w:r>
            <w:proofErr w:type="spellEnd"/>
            <w:r w:rsidRPr="00665D63">
              <w:t>.</w:t>
            </w:r>
            <w:r w:rsidR="00631B85">
              <w:t xml:space="preserve"> в сумме 254 тыс. рублей и экономия по коммунальным услугам – 38,2 </w:t>
            </w:r>
            <w:proofErr w:type="spellStart"/>
            <w:r w:rsidR="00631B85">
              <w:t>тыс.рублей</w:t>
            </w:r>
            <w:proofErr w:type="spellEnd"/>
            <w:r w:rsidR="00631B85">
              <w:t>.</w:t>
            </w: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  <w:r w:rsidRPr="00F55C58">
              <w:t>Платные услуги представлены  на</w:t>
            </w:r>
            <w:r>
              <w:t xml:space="preserve"> 222</w:t>
            </w:r>
            <w:r w:rsidRPr="00F55C58">
              <w:t xml:space="preserve">,1 </w:t>
            </w:r>
            <w:proofErr w:type="spellStart"/>
            <w:r w:rsidRPr="00F55C58">
              <w:t>т.р</w:t>
            </w:r>
            <w:proofErr w:type="spellEnd"/>
            <w:r w:rsidRPr="00F55C58">
              <w:t>. больше</w:t>
            </w:r>
            <w:r>
              <w:t xml:space="preserve"> предусмотренного</w:t>
            </w:r>
          </w:p>
        </w:tc>
      </w:tr>
      <w:tr w:rsidR="00663C14" w:rsidRPr="00E71E94" w:rsidTr="00852E3F">
        <w:trPr>
          <w:trHeight w:val="226"/>
        </w:trPr>
        <w:tc>
          <w:tcPr>
            <w:tcW w:w="1419" w:type="dxa"/>
            <w:vMerge w:val="restart"/>
          </w:tcPr>
          <w:p w:rsidR="00663C14" w:rsidRPr="00473F73" w:rsidRDefault="00663C14" w:rsidP="00030B34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</w:t>
            </w:r>
            <w:r w:rsidR="00030B34" w:rsidRPr="00473F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vMerge w:val="restart"/>
          </w:tcPr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eastAsia="Calibri" w:hAnsi="Times New Roman" w:cs="Times New Roman"/>
              </w:rPr>
              <w:t>Укрепление единства российской нации и этнокультурное развитие народов</w:t>
            </w: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 w:val="restart"/>
          </w:tcPr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63C14" w:rsidRPr="00E71E94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1149"/>
        </w:trPr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226"/>
        </w:trPr>
        <w:tc>
          <w:tcPr>
            <w:tcW w:w="1419" w:type="dxa"/>
            <w:vMerge w:val="restart"/>
          </w:tcPr>
          <w:p w:rsidR="00663C14" w:rsidRPr="00473F73" w:rsidRDefault="00030B34" w:rsidP="00030B34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663C14" w:rsidRPr="00473F73" w:rsidRDefault="00663C14" w:rsidP="00030B34">
            <w:pPr>
              <w:widowControl w:val="0"/>
              <w:autoSpaceDE w:val="0"/>
              <w:autoSpaceDN w:val="0"/>
            </w:pPr>
            <w:r w:rsidRPr="00473F73">
              <w:t xml:space="preserve"> </w:t>
            </w:r>
            <w:r w:rsidRPr="00473F73">
              <w:rPr>
                <w:rFonts w:eastAsia="Calibri"/>
              </w:rPr>
              <w:t>Обеспечение реализации муниципальной программы «Развитие культуры»</w:t>
            </w:r>
          </w:p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 w:val="restart"/>
          </w:tcPr>
          <w:p w:rsidR="00663C14" w:rsidRPr="00473F73" w:rsidRDefault="00663C14" w:rsidP="00194A22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76" w:type="dxa"/>
            <w:vMerge w:val="restart"/>
          </w:tcPr>
          <w:p w:rsidR="00663C14" w:rsidRPr="00E71E94" w:rsidRDefault="00663C14" w:rsidP="00F55C58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1149"/>
        </w:trPr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rPr>
          <w:trHeight w:val="226"/>
        </w:trPr>
        <w:tc>
          <w:tcPr>
            <w:tcW w:w="1419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eastAsia="Calibri" w:hAnsi="Times New Roman" w:cs="Times New Roman"/>
                <w:iCs/>
                <w:lang w:eastAsia="zh-CN"/>
              </w:rPr>
              <w:t>Строительство реконструкция и модернизация учреждений культуры клубного типа государственная программа ЧР «Развитие культуры</w:t>
            </w:r>
            <w:r w:rsidRPr="00473F73">
              <w:rPr>
                <w:rFonts w:ascii="Times New Roman" w:eastAsia="Calibri" w:hAnsi="Times New Roman" w:cs="Times New Roman"/>
                <w:iCs/>
              </w:rPr>
              <w:t>»</w:t>
            </w:r>
            <w:r w:rsidRPr="00473F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4A0335" w:rsidRPr="00F72C36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A0335" w:rsidRP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 w:rsidRPr="004A0335">
              <w:rPr>
                <w:color w:val="000000"/>
                <w:lang w:eastAsia="zh-CN"/>
              </w:rPr>
              <w:t>6252,9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rPr>
                <w:rFonts w:eastAsia="Calibri"/>
              </w:rPr>
              <w:t xml:space="preserve">6252,9 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76" w:type="dxa"/>
            <w:vMerge w:val="restart"/>
          </w:tcPr>
          <w:p w:rsidR="004A0335" w:rsidRPr="00E71E94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5815,2</w:t>
            </w:r>
          </w:p>
        </w:tc>
        <w:tc>
          <w:tcPr>
            <w:tcW w:w="850" w:type="dxa"/>
          </w:tcPr>
          <w:p w:rsidR="004A0335" w:rsidRPr="00904C97" w:rsidRDefault="004A0335" w:rsidP="004A0335">
            <w:pPr>
              <w:jc w:val="right"/>
            </w:pPr>
            <w:r>
              <w:rPr>
                <w:rFonts w:eastAsia="Calibri"/>
              </w:rPr>
              <w:t>5815,2</w:t>
            </w:r>
            <w:r w:rsidRPr="00904C97"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/>
          </w:tcPr>
          <w:p w:rsidR="004A0335" w:rsidRPr="00DD4B2E" w:rsidRDefault="004A0335" w:rsidP="004A0335">
            <w:pPr>
              <w:tabs>
                <w:tab w:val="left" w:pos="21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rPr>
          <w:trHeight w:val="1149"/>
        </w:trPr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437,7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>
              <w:t>437,7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</w:t>
            </w:r>
            <w:r>
              <w:t>10</w:t>
            </w:r>
            <w:r w:rsidRPr="00473F73">
              <w:t>0</w:t>
            </w:r>
          </w:p>
        </w:tc>
        <w:tc>
          <w:tcPr>
            <w:tcW w:w="1134" w:type="dxa"/>
            <w:vMerge/>
          </w:tcPr>
          <w:p w:rsidR="004A0335" w:rsidRPr="00DD4B2E" w:rsidRDefault="004A0335" w:rsidP="004A0335">
            <w:pPr>
              <w:tabs>
                <w:tab w:val="left" w:pos="21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2C36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</w:tbl>
    <w:p w:rsidR="00663C14" w:rsidRPr="004D476F" w:rsidRDefault="00663C14" w:rsidP="00663C14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194A22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&lt;*&gt; В соответствии с муниципальной программой Красноармейского муниципального округа Чувашской Республики.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&lt;**&gt; Кассовые расходы федерального бюджета, республиканского бюджета, бюджета Красноармейского муниципального округа Чувашской Республики, бюджета поселений Красноармейского муниципального округа Чувашской Республики, внебюджетные источники.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&lt;***&gt; Указываются значения "выполнено", "не выполнено", "частично выполнено".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&lt;****&gt; Представляется краткая информация о проделанной работе и о достижении (</w:t>
      </w:r>
      <w:proofErr w:type="spellStart"/>
      <w:r w:rsidRPr="002E0CFC">
        <w:rPr>
          <w:rFonts w:ascii="Times New Roman" w:hAnsi="Times New Roman" w:cs="Times New Roman"/>
        </w:rPr>
        <w:t>недостижении</w:t>
      </w:r>
      <w:proofErr w:type="spellEnd"/>
      <w:r w:rsidRPr="002E0CFC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Республики). В случае </w:t>
      </w:r>
      <w:proofErr w:type="spellStart"/>
      <w:r w:rsidRPr="002E0CFC">
        <w:rPr>
          <w:rFonts w:ascii="Times New Roman" w:hAnsi="Times New Roman" w:cs="Times New Roman"/>
        </w:rPr>
        <w:t>недостижения</w:t>
      </w:r>
      <w:proofErr w:type="spellEnd"/>
      <w:r w:rsidRPr="002E0CFC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 представляются пояснения причин </w:t>
      </w:r>
      <w:proofErr w:type="spellStart"/>
      <w:r w:rsidRPr="002E0CFC">
        <w:rPr>
          <w:rFonts w:ascii="Times New Roman" w:hAnsi="Times New Roman" w:cs="Times New Roman"/>
        </w:rPr>
        <w:t>недостижения</w:t>
      </w:r>
      <w:proofErr w:type="spellEnd"/>
      <w:r w:rsidRPr="002E0CFC">
        <w:rPr>
          <w:rFonts w:ascii="Times New Roman" w:hAnsi="Times New Roman" w:cs="Times New Roman"/>
        </w:rPr>
        <w:t>.</w:t>
      </w:r>
    </w:p>
    <w:p w:rsidR="002316E6" w:rsidRPr="004D476F" w:rsidRDefault="002316E6" w:rsidP="00DD4B2E">
      <w:pPr>
        <w:pStyle w:val="ConsPlusNormal"/>
        <w:pBdr>
          <w:top w:val="single" w:sz="6" w:space="0" w:color="auto"/>
        </w:pBdr>
        <w:tabs>
          <w:tab w:val="left" w:pos="2184"/>
        </w:tabs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Default="002316E6" w:rsidP="002316E6">
      <w:pPr>
        <w:widowControl w:val="0"/>
        <w:tabs>
          <w:tab w:val="left" w:pos="218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2316E6" w:rsidRDefault="002316E6" w:rsidP="002316E6">
      <w:pPr>
        <w:widowControl w:val="0"/>
        <w:tabs>
          <w:tab w:val="left" w:pos="218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BF11E2" w:rsidRDefault="00BF11E2"/>
    <w:sectPr w:rsidR="00BF11E2" w:rsidSect="00473F73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510" w:right="340" w:bottom="39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0B" w:rsidRDefault="000F1F0B">
      <w:r>
        <w:separator/>
      </w:r>
    </w:p>
  </w:endnote>
  <w:endnote w:type="continuationSeparator" w:id="0">
    <w:p w:rsidR="000F1F0B" w:rsidRDefault="000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OldStyle-BoldItalic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7DC4" w:rsidRDefault="00697DC4">
    <w:pPr>
      <w:pStyle w:val="a5"/>
      <w:ind w:right="360"/>
    </w:pPr>
  </w:p>
  <w:p w:rsidR="00697DC4" w:rsidRDefault="00697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5"/>
      <w:ind w:right="360"/>
      <w:rPr>
        <w:color w:val="999999"/>
        <w:sz w:val="16"/>
        <w:szCs w:val="16"/>
      </w:rPr>
    </w:pPr>
  </w:p>
  <w:p w:rsidR="00697DC4" w:rsidRDefault="00697DC4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0B" w:rsidRDefault="000F1F0B">
      <w:r>
        <w:separator/>
      </w:r>
    </w:p>
  </w:footnote>
  <w:footnote w:type="continuationSeparator" w:id="0">
    <w:p w:rsidR="000F1F0B" w:rsidRDefault="000F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7DC4" w:rsidRDefault="00697DC4">
    <w:pPr>
      <w:pStyle w:val="a3"/>
      <w:ind w:right="360" w:firstLine="360"/>
    </w:pPr>
  </w:p>
  <w:p w:rsidR="00697DC4" w:rsidRDefault="00697D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3"/>
      <w:framePr w:wrap="around" w:vAnchor="text" w:hAnchor="margin" w:y="1"/>
      <w:rPr>
        <w:rStyle w:val="a7"/>
      </w:rPr>
    </w:pPr>
  </w:p>
  <w:p w:rsidR="00697DC4" w:rsidRDefault="00697DC4">
    <w:pPr>
      <w:pStyle w:val="a3"/>
      <w:ind w:right="360"/>
    </w:pPr>
  </w:p>
  <w:p w:rsidR="00697DC4" w:rsidRDefault="00697D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BD"/>
    <w:multiLevelType w:val="hybridMultilevel"/>
    <w:tmpl w:val="A4A87278"/>
    <w:lvl w:ilvl="0" w:tplc="FE046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31214"/>
    <w:multiLevelType w:val="hybridMultilevel"/>
    <w:tmpl w:val="18780F0A"/>
    <w:lvl w:ilvl="0" w:tplc="59707C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C8B6B63"/>
    <w:multiLevelType w:val="hybridMultilevel"/>
    <w:tmpl w:val="E640DE38"/>
    <w:lvl w:ilvl="0" w:tplc="694E57A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50286F"/>
    <w:multiLevelType w:val="hybridMultilevel"/>
    <w:tmpl w:val="A02430A6"/>
    <w:lvl w:ilvl="0" w:tplc="C5B8C6E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063F6"/>
    <w:multiLevelType w:val="hybridMultilevel"/>
    <w:tmpl w:val="BF60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6C4"/>
    <w:multiLevelType w:val="hybridMultilevel"/>
    <w:tmpl w:val="C26E7CD6"/>
    <w:lvl w:ilvl="0" w:tplc="C5BE9648">
      <w:start w:val="1"/>
      <w:numFmt w:val="decimal"/>
      <w:lvlText w:val="%1."/>
      <w:lvlJc w:val="left"/>
      <w:pPr>
        <w:ind w:left="435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A8E7547"/>
    <w:multiLevelType w:val="hybridMultilevel"/>
    <w:tmpl w:val="E5E64E0C"/>
    <w:lvl w:ilvl="0" w:tplc="748EF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E362E"/>
    <w:multiLevelType w:val="hybridMultilevel"/>
    <w:tmpl w:val="0FC67EEE"/>
    <w:lvl w:ilvl="0" w:tplc="543CD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011BC"/>
    <w:multiLevelType w:val="hybridMultilevel"/>
    <w:tmpl w:val="39388AA8"/>
    <w:lvl w:ilvl="0" w:tplc="3B1621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D48F0"/>
    <w:multiLevelType w:val="hybridMultilevel"/>
    <w:tmpl w:val="EE98E4DC"/>
    <w:lvl w:ilvl="0" w:tplc="17CA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D6056"/>
    <w:multiLevelType w:val="hybridMultilevel"/>
    <w:tmpl w:val="A16E6F32"/>
    <w:lvl w:ilvl="0" w:tplc="B1E8C3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A5567"/>
    <w:multiLevelType w:val="hybridMultilevel"/>
    <w:tmpl w:val="C6E6FB84"/>
    <w:lvl w:ilvl="0" w:tplc="BAF8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6"/>
    <w:rsid w:val="00030B34"/>
    <w:rsid w:val="00074056"/>
    <w:rsid w:val="000A67BA"/>
    <w:rsid w:val="000D5C84"/>
    <w:rsid w:val="000F1B79"/>
    <w:rsid w:val="000F1F0B"/>
    <w:rsid w:val="00117750"/>
    <w:rsid w:val="00194A22"/>
    <w:rsid w:val="001E6C78"/>
    <w:rsid w:val="002316E6"/>
    <w:rsid w:val="00231AFD"/>
    <w:rsid w:val="002F134B"/>
    <w:rsid w:val="002F2F30"/>
    <w:rsid w:val="00306166"/>
    <w:rsid w:val="00310BE9"/>
    <w:rsid w:val="00322CA2"/>
    <w:rsid w:val="00342851"/>
    <w:rsid w:val="003922B3"/>
    <w:rsid w:val="003C3904"/>
    <w:rsid w:val="00473F73"/>
    <w:rsid w:val="00474DD9"/>
    <w:rsid w:val="0047580F"/>
    <w:rsid w:val="004A0335"/>
    <w:rsid w:val="004F391F"/>
    <w:rsid w:val="004F5089"/>
    <w:rsid w:val="005110AA"/>
    <w:rsid w:val="00523D39"/>
    <w:rsid w:val="00553817"/>
    <w:rsid w:val="00561972"/>
    <w:rsid w:val="005B042D"/>
    <w:rsid w:val="00631B85"/>
    <w:rsid w:val="00663C14"/>
    <w:rsid w:val="00665D63"/>
    <w:rsid w:val="00670139"/>
    <w:rsid w:val="00683ABA"/>
    <w:rsid w:val="00697DC4"/>
    <w:rsid w:val="00750563"/>
    <w:rsid w:val="007516C1"/>
    <w:rsid w:val="0076621C"/>
    <w:rsid w:val="0078445E"/>
    <w:rsid w:val="007A5CE6"/>
    <w:rsid w:val="007C3FC4"/>
    <w:rsid w:val="00844D2A"/>
    <w:rsid w:val="00851189"/>
    <w:rsid w:val="00852E3F"/>
    <w:rsid w:val="008A1C4C"/>
    <w:rsid w:val="00904C97"/>
    <w:rsid w:val="0091253B"/>
    <w:rsid w:val="009228B9"/>
    <w:rsid w:val="00A224FB"/>
    <w:rsid w:val="00AB0FED"/>
    <w:rsid w:val="00AE4B3A"/>
    <w:rsid w:val="00B46164"/>
    <w:rsid w:val="00BE0529"/>
    <w:rsid w:val="00BF11E2"/>
    <w:rsid w:val="00C161A0"/>
    <w:rsid w:val="00C52B3D"/>
    <w:rsid w:val="00D054D0"/>
    <w:rsid w:val="00D16E42"/>
    <w:rsid w:val="00DD4B2E"/>
    <w:rsid w:val="00DF6B2A"/>
    <w:rsid w:val="00E3166E"/>
    <w:rsid w:val="00E52F09"/>
    <w:rsid w:val="00E60524"/>
    <w:rsid w:val="00EA2347"/>
    <w:rsid w:val="00EC4650"/>
    <w:rsid w:val="00F04B37"/>
    <w:rsid w:val="00F55C58"/>
    <w:rsid w:val="00F56FFA"/>
    <w:rsid w:val="00F72C36"/>
    <w:rsid w:val="00F73ED2"/>
    <w:rsid w:val="00F812A7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3D83"/>
  <w15:docId w15:val="{7B635B6A-356E-4039-8718-ED24342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231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 Знак Знак"/>
    <w:basedOn w:val="a0"/>
    <w:link w:val="a5"/>
    <w:rsid w:val="00231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16E6"/>
  </w:style>
  <w:style w:type="paragraph" w:customStyle="1" w:styleId="ConsPlusNormal">
    <w:name w:val="ConsPlusNormal"/>
    <w:rsid w:val="00231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6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5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 Осипова</dc:creator>
  <cp:lastModifiedBy>Наталия Иванова</cp:lastModifiedBy>
  <cp:revision>7</cp:revision>
  <dcterms:created xsi:type="dcterms:W3CDTF">2023-03-31T07:50:00Z</dcterms:created>
  <dcterms:modified xsi:type="dcterms:W3CDTF">2023-04-06T13:52:00Z</dcterms:modified>
</cp:coreProperties>
</file>