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3F3313" w:rsidRPr="003F3313" w:rsidTr="00CB2B9D">
        <w:tc>
          <w:tcPr>
            <w:tcW w:w="3936" w:type="dxa"/>
            <w:gridSpan w:val="2"/>
          </w:tcPr>
          <w:p w:rsidR="00A948E8" w:rsidRPr="003F3313" w:rsidRDefault="00A948E8" w:rsidP="00CB2B9D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Pr="003F3313" w:rsidRDefault="00A948E8" w:rsidP="00CB2B9D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Pr="003F3313" w:rsidRDefault="00A948E8" w:rsidP="00CB2B9D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3F3313" w:rsidRPr="003F3313" w:rsidTr="00CB2B9D">
        <w:trPr>
          <w:gridAfter w:val="1"/>
          <w:wAfter w:w="248" w:type="dxa"/>
        </w:trPr>
        <w:tc>
          <w:tcPr>
            <w:tcW w:w="3261" w:type="dxa"/>
          </w:tcPr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3F3313">
              <w:rPr>
                <w:b/>
                <w:sz w:val="22"/>
                <w:szCs w:val="22"/>
              </w:rPr>
              <w:t>Чӑваш</w:t>
            </w:r>
            <w:proofErr w:type="spellEnd"/>
            <w:r w:rsidRPr="003F33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3313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КАНАШ ХУЛА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АДМИНИСТРАЦИЙЕ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0E2C44" w:rsidRPr="003F3313" w:rsidRDefault="000E2C44" w:rsidP="000E2C44">
            <w:pPr>
              <w:autoSpaceDE w:val="0"/>
              <w:autoSpaceDN w:val="0"/>
              <w:spacing w:line="192" w:lineRule="auto"/>
              <w:jc w:val="center"/>
              <w:rPr>
                <w:b/>
              </w:rPr>
            </w:pPr>
            <w:r w:rsidRPr="003F3313">
              <w:rPr>
                <w:b/>
              </w:rPr>
              <w:t>ЙЫШАНУ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3F3313" w:rsidRDefault="00AB60F9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________</w:t>
            </w:r>
            <w:r w:rsidR="00473148" w:rsidRPr="003F3313">
              <w:rPr>
                <w:b/>
                <w:sz w:val="22"/>
                <w:szCs w:val="22"/>
              </w:rPr>
              <w:t xml:space="preserve"> </w:t>
            </w:r>
            <w:r w:rsidR="00A948E8" w:rsidRPr="003F3313">
              <w:rPr>
                <w:b/>
                <w:sz w:val="22"/>
                <w:szCs w:val="22"/>
              </w:rPr>
              <w:t>№</w:t>
            </w:r>
            <w:r w:rsidR="00A86147" w:rsidRPr="003F3313">
              <w:rPr>
                <w:b/>
                <w:sz w:val="22"/>
                <w:szCs w:val="22"/>
              </w:rPr>
              <w:t xml:space="preserve"> </w:t>
            </w:r>
            <w:r w:rsidR="00074A0B" w:rsidRPr="003F3313">
              <w:rPr>
                <w:b/>
                <w:sz w:val="22"/>
                <w:szCs w:val="22"/>
              </w:rPr>
              <w:t xml:space="preserve"> </w:t>
            </w:r>
            <w:r w:rsidRPr="003F3313">
              <w:rPr>
                <w:b/>
                <w:sz w:val="22"/>
                <w:szCs w:val="22"/>
              </w:rPr>
              <w:t>______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3F331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D4CC084" wp14:editId="548231FD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АДМИНИСТРАЦИЯ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ГОРОДА КАНАШ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Чувашской Республики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3F3313" w:rsidRDefault="000E2C44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ПОСТАНОВЛЕНИЕ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86147" w:rsidRPr="003F3313" w:rsidRDefault="00AB60F9" w:rsidP="00A8614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__________</w:t>
            </w:r>
            <w:r w:rsidR="00473148" w:rsidRPr="003F3313">
              <w:rPr>
                <w:b/>
                <w:sz w:val="22"/>
                <w:szCs w:val="22"/>
              </w:rPr>
              <w:t xml:space="preserve"> </w:t>
            </w:r>
            <w:r w:rsidR="00A86147" w:rsidRPr="003F3313">
              <w:rPr>
                <w:b/>
                <w:sz w:val="22"/>
                <w:szCs w:val="22"/>
              </w:rPr>
              <w:t xml:space="preserve">№ </w:t>
            </w:r>
            <w:r w:rsidRPr="003F3313">
              <w:rPr>
                <w:b/>
                <w:sz w:val="22"/>
                <w:szCs w:val="22"/>
              </w:rPr>
              <w:t>______</w:t>
            </w: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3F3313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3F3313">
              <w:rPr>
                <w:b/>
                <w:sz w:val="22"/>
                <w:szCs w:val="22"/>
              </w:rPr>
              <w:t>г. Канаш</w:t>
            </w:r>
          </w:p>
        </w:tc>
      </w:tr>
    </w:tbl>
    <w:p w:rsidR="00AB60F9" w:rsidRPr="003F3313" w:rsidRDefault="00AB60F9" w:rsidP="00AB60F9">
      <w:pPr>
        <w:ind w:right="4393"/>
        <w:jc w:val="both"/>
        <w:rPr>
          <w:b/>
        </w:rPr>
      </w:pPr>
      <w:r w:rsidRPr="003F3313">
        <w:rPr>
          <w:b/>
        </w:rPr>
        <w:t>О внесении изменений в Положение об оплате труда работников муниципальных образовательных учреждений города Канаш Чувашской Республики, занятых в сфере образования</w:t>
      </w:r>
    </w:p>
    <w:p w:rsidR="00AB60F9" w:rsidRPr="003F3313" w:rsidRDefault="00AB60F9" w:rsidP="00AB60F9">
      <w:pPr>
        <w:rPr>
          <w:b/>
        </w:rPr>
      </w:pPr>
    </w:p>
    <w:p w:rsidR="001D0B71" w:rsidRPr="003F3313" w:rsidRDefault="00AB60F9" w:rsidP="001D0B71">
      <w:pPr>
        <w:ind w:firstLine="709"/>
        <w:jc w:val="both"/>
      </w:pPr>
      <w:r w:rsidRPr="003F3313">
        <w:t>В соответствии с Федеральным законом от 06.10.2003 № 131-ФЗ «Об</w:t>
      </w:r>
      <w:r w:rsidR="001D0B71" w:rsidRPr="003F3313">
        <w:t xml:space="preserve"> </w:t>
      </w:r>
      <w:r w:rsidRPr="003F3313">
        <w:t xml:space="preserve">общих принципах организации местного самоуправления в Российской Федерации», </w:t>
      </w:r>
      <w:r w:rsidR="00925703" w:rsidRPr="003F3313">
        <w:t>Пос</w:t>
      </w:r>
      <w:r w:rsidR="00077F56">
        <w:t>тановления Кабинета Министров Чувашской Республики от 14 ноября 2022 г.</w:t>
      </w:r>
      <w:r w:rsidR="00925703" w:rsidRPr="003F3313">
        <w:t xml:space="preserve"> № 586 «О внесении изменений в постановление Кабинета Министров Чувашской Республики от 13 сентября 2013 г. № 377»</w:t>
      </w:r>
      <w:r w:rsidR="001D0B71" w:rsidRPr="003F3313">
        <w:t xml:space="preserve">, </w:t>
      </w:r>
      <w:r w:rsidR="001D0B71" w:rsidRPr="003F3313">
        <w:rPr>
          <w:b/>
        </w:rPr>
        <w:t>А</w:t>
      </w:r>
      <w:r w:rsidRPr="003F3313">
        <w:rPr>
          <w:b/>
        </w:rPr>
        <w:t>дминистрация города Канаш</w:t>
      </w:r>
      <w:r w:rsidR="001D0B71" w:rsidRPr="003F3313">
        <w:rPr>
          <w:b/>
        </w:rPr>
        <w:t xml:space="preserve"> Чувашской Республики постановляет:</w:t>
      </w:r>
    </w:p>
    <w:p w:rsidR="001D0B71" w:rsidRPr="003F3313" w:rsidRDefault="001D0B71" w:rsidP="001D0B71">
      <w:pPr>
        <w:ind w:firstLine="709"/>
        <w:jc w:val="both"/>
      </w:pPr>
    </w:p>
    <w:p w:rsidR="001D0B71" w:rsidRDefault="001D0B71" w:rsidP="001D0B71">
      <w:pPr>
        <w:ind w:firstLine="567"/>
        <w:jc w:val="both"/>
      </w:pPr>
      <w:r w:rsidRPr="003F3313">
        <w:t xml:space="preserve">1. </w:t>
      </w:r>
      <w:r w:rsidR="00AB60F9" w:rsidRPr="003F3313">
        <w:t>Внести в Положение об оплате труда работников муниципальных образовательных учреждений города Канаш Чувашской Республики, занятых в сфере образования, утвержденное постановлением администрации города Канаш Чувашской Республики от 30 сентября 2013 г.</w:t>
      </w:r>
      <w:r w:rsidRPr="003F3313">
        <w:t xml:space="preserve"> № 1002 (с изменениями от 31 декабря 2013 № 1480, от 27 января 2016 № 43, от 18 ноября 2016 № 1257, от 03 апреля 2017 № 649, от 25 сентября 2017 № 1462, от 28 декабря 2017 № 1915, от 25 июля 2018 № 850, от 17 октября 2019 № 1155, от 30 октября </w:t>
      </w:r>
      <w:r w:rsidR="00AB60F9" w:rsidRPr="003F3313">
        <w:t>2019 № 1215</w:t>
      </w:r>
      <w:r w:rsidRPr="003F3313">
        <w:t xml:space="preserve">, от 09 октября </w:t>
      </w:r>
      <w:r w:rsidR="00AB60F9" w:rsidRPr="003F3313">
        <w:t>2020 № 717</w:t>
      </w:r>
      <w:r w:rsidRPr="003F3313">
        <w:t>, от 2 ноября 2020 г. № 775</w:t>
      </w:r>
      <w:r w:rsidR="003F3313" w:rsidRPr="003F3313">
        <w:t>, от ____2023 год</w:t>
      </w:r>
      <w:r w:rsidR="00AB60F9" w:rsidRPr="003F3313">
        <w:t>)</w:t>
      </w:r>
      <w:r w:rsidRPr="003F3313">
        <w:t xml:space="preserve"> следующие изменения:</w:t>
      </w:r>
    </w:p>
    <w:p w:rsidR="003F3313" w:rsidRPr="003F3313" w:rsidRDefault="00077F56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1) </w:t>
      </w:r>
      <w:r w:rsidR="003F3313" w:rsidRPr="003F3313">
        <w:rPr>
          <w:rFonts w:ascii="Times New Roman CYR" w:eastAsiaTheme="minorEastAsia" w:hAnsi="Times New Roman CYR" w:cs="Times New Roman CYR"/>
        </w:rPr>
        <w:t>в разделе I:</w:t>
      </w:r>
    </w:p>
    <w:p w:rsidR="003F3313" w:rsidRPr="003F3313" w:rsidRDefault="00077F56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23044"/>
      <w:proofErr w:type="gramStart"/>
      <w:r>
        <w:rPr>
          <w:rFonts w:ascii="Times New Roman CYR" w:eastAsiaTheme="minorEastAsia" w:hAnsi="Times New Roman CYR" w:cs="Times New Roman CYR"/>
        </w:rPr>
        <w:t>подпункт</w:t>
      </w:r>
      <w:proofErr w:type="gramEnd"/>
      <w:r>
        <w:rPr>
          <w:rFonts w:ascii="Times New Roman CYR" w:eastAsiaTheme="minorEastAsia" w:hAnsi="Times New Roman CYR" w:cs="Times New Roman CYR"/>
        </w:rPr>
        <w:t xml:space="preserve"> «а»</w:t>
      </w:r>
      <w:r w:rsidR="003F3313" w:rsidRPr="003F3313">
        <w:rPr>
          <w:rFonts w:ascii="Times New Roman CYR" w:eastAsiaTheme="minorEastAsia" w:hAnsi="Times New Roman CYR" w:cs="Times New Roman CYR"/>
        </w:rPr>
        <w:t xml:space="preserve"> пункта 1.6 изложить в следующей редакции:</w:t>
      </w:r>
    </w:p>
    <w:p w:rsidR="003F3313" w:rsidRPr="003F3313" w:rsidRDefault="00077F56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61"/>
      <w:bookmarkEnd w:id="0"/>
      <w:r>
        <w:rPr>
          <w:rFonts w:ascii="Times New Roman CYR" w:eastAsiaTheme="minorEastAsia" w:hAnsi="Times New Roman CYR" w:cs="Times New Roman CYR"/>
        </w:rPr>
        <w:t>«</w:t>
      </w:r>
      <w:proofErr w:type="gramStart"/>
      <w:r w:rsidR="003F3313" w:rsidRPr="003F3313">
        <w:rPr>
          <w:rFonts w:ascii="Times New Roman CYR" w:eastAsiaTheme="minorEastAsia" w:hAnsi="Times New Roman CYR" w:cs="Times New Roman CYR"/>
        </w:rPr>
        <w:t>а</w:t>
      </w:r>
      <w:proofErr w:type="gramEnd"/>
      <w:r w:rsidR="003F3313" w:rsidRPr="003F3313">
        <w:rPr>
          <w:rFonts w:ascii="Times New Roman CYR" w:eastAsiaTheme="minorEastAsia" w:hAnsi="Times New Roman CYR" w:cs="Times New Roman CYR"/>
        </w:rPr>
        <w:t>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профессиональных стандартов и иных нормативных правовых актов Прав</w:t>
      </w:r>
      <w:r>
        <w:rPr>
          <w:rFonts w:ascii="Times New Roman CYR" w:eastAsiaTheme="minorEastAsia" w:hAnsi="Times New Roman CYR" w:cs="Times New Roman CYR"/>
        </w:rPr>
        <w:t>ительства Российской Федерации;»</w:t>
      </w:r>
      <w:r w:rsidR="003F3313" w:rsidRPr="003F3313">
        <w:rPr>
          <w:rFonts w:ascii="Times New Roman CYR" w:eastAsiaTheme="minorEastAsia" w:hAnsi="Times New Roman CYR" w:cs="Times New Roman CYR"/>
        </w:rPr>
        <w:t>;</w:t>
      </w: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23045"/>
      <w:bookmarkEnd w:id="1"/>
      <w:proofErr w:type="gramStart"/>
      <w:r w:rsidRPr="003F3313">
        <w:rPr>
          <w:rFonts w:ascii="Times New Roman CYR" w:eastAsiaTheme="minorEastAsia" w:hAnsi="Times New Roman CYR" w:cs="Times New Roman CYR"/>
        </w:rPr>
        <w:t>пункт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1.10 изложить в следующей редакции:</w:t>
      </w:r>
    </w:p>
    <w:p w:rsidR="003F3313" w:rsidRPr="003F3313" w:rsidRDefault="00077F56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10"/>
      <w:bookmarkEnd w:id="2"/>
      <w:r>
        <w:rPr>
          <w:rFonts w:ascii="Times New Roman CYR" w:eastAsiaTheme="minorEastAsia" w:hAnsi="Times New Roman CYR" w:cs="Times New Roman CYR"/>
        </w:rPr>
        <w:t>«</w:t>
      </w:r>
      <w:r w:rsidR="003F3313" w:rsidRPr="003F3313">
        <w:rPr>
          <w:rFonts w:ascii="Times New Roman CYR" w:eastAsiaTheme="minorEastAsia" w:hAnsi="Times New Roman CYR" w:cs="Times New Roman CYR"/>
        </w:rPr>
        <w:t xml:space="preserve">1.10. Размеры окладов (ставок) устанавливаются в соответствии с абзацем седьмым пункта 1.1, пунктом 1.2.1 настоящего Положения руководителем учреждения по квалификационным уровням ПКГ. Размеры выплат по коэффициентам определяются путем умножения размера оклада (ставки) по соответствующей ПКГ на величину коэффициента </w:t>
      </w:r>
      <w:r>
        <w:rPr>
          <w:rFonts w:ascii="Times New Roman CYR" w:eastAsiaTheme="minorEastAsia" w:hAnsi="Times New Roman CYR" w:cs="Times New Roman CYR"/>
        </w:rPr>
        <w:t>по соответствующему уровню ПКГ.»</w:t>
      </w:r>
      <w:r w:rsidR="003F3313" w:rsidRPr="003F3313">
        <w:rPr>
          <w:rFonts w:ascii="Times New Roman CYR" w:eastAsiaTheme="minorEastAsia" w:hAnsi="Times New Roman CYR" w:cs="Times New Roman CYR"/>
        </w:rPr>
        <w:t>;</w:t>
      </w: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23046"/>
      <w:bookmarkEnd w:id="3"/>
      <w:proofErr w:type="gramStart"/>
      <w:r w:rsidRPr="003F3313">
        <w:rPr>
          <w:rFonts w:ascii="Times New Roman CYR" w:eastAsiaTheme="minorEastAsia" w:hAnsi="Times New Roman CYR" w:cs="Times New Roman CYR"/>
        </w:rPr>
        <w:t>абзац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второй пункта 1.11 дополнить словами</w:t>
      </w:r>
      <w:r w:rsidR="00077F56">
        <w:rPr>
          <w:rFonts w:ascii="Times New Roman CYR" w:eastAsiaTheme="minorEastAsia" w:hAnsi="Times New Roman CYR" w:cs="Times New Roman CYR"/>
        </w:rPr>
        <w:t xml:space="preserve"> «</w:t>
      </w:r>
      <w:r w:rsidRPr="003F3313">
        <w:rPr>
          <w:rFonts w:ascii="Times New Roman CYR" w:eastAsiaTheme="minorEastAsia" w:hAnsi="Times New Roman CYR" w:cs="Times New Roman CYR"/>
        </w:rPr>
        <w:t>, а также иных нормативных правовых актов Правительства Российской Федерации, утверждающих ном</w:t>
      </w:r>
      <w:r w:rsidR="00077F56">
        <w:rPr>
          <w:rFonts w:ascii="Times New Roman CYR" w:eastAsiaTheme="minorEastAsia" w:hAnsi="Times New Roman CYR" w:cs="Times New Roman CYR"/>
        </w:rPr>
        <w:t>енклатуру должностей работников»</w:t>
      </w:r>
      <w:r w:rsidRPr="003F3313">
        <w:rPr>
          <w:rFonts w:ascii="Times New Roman CYR" w:eastAsiaTheme="minorEastAsia" w:hAnsi="Times New Roman CYR" w:cs="Times New Roman CYR"/>
        </w:rPr>
        <w:t>;</w:t>
      </w:r>
    </w:p>
    <w:bookmarkEnd w:id="4"/>
    <w:p w:rsidR="003F3313" w:rsidRPr="003F3313" w:rsidRDefault="00077F56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2) </w:t>
      </w:r>
      <w:r w:rsidR="003F3313" w:rsidRPr="003F3313">
        <w:rPr>
          <w:rFonts w:ascii="Times New Roman CYR" w:eastAsiaTheme="minorEastAsia" w:hAnsi="Times New Roman CYR" w:cs="Times New Roman CYR"/>
        </w:rPr>
        <w:t>в разделе II:</w:t>
      </w: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23047"/>
      <w:proofErr w:type="gramStart"/>
      <w:r w:rsidRPr="003F3313">
        <w:rPr>
          <w:rFonts w:ascii="Times New Roman CYR" w:eastAsiaTheme="minorEastAsia" w:hAnsi="Times New Roman CYR" w:cs="Times New Roman CYR"/>
        </w:rPr>
        <w:t>пункт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2.2 признать утратившим силу;</w:t>
      </w:r>
    </w:p>
    <w:p w:rsidR="00077F56" w:rsidRDefault="00077F56" w:rsidP="00077F56">
      <w:pPr>
        <w:ind w:firstLine="567"/>
        <w:jc w:val="both"/>
      </w:pPr>
      <w:bookmarkStart w:id="6" w:name="sub_23048"/>
      <w:bookmarkEnd w:id="5"/>
      <w:r>
        <w:t xml:space="preserve"> </w:t>
      </w:r>
      <w:r w:rsidR="000D088E">
        <w:t xml:space="preserve"> </w:t>
      </w:r>
      <w:proofErr w:type="gramStart"/>
      <w:r w:rsidR="000D088E">
        <w:t>пункт</w:t>
      </w:r>
      <w:proofErr w:type="gramEnd"/>
      <w:r w:rsidRPr="001D0B71">
        <w:t xml:space="preserve"> 2.3</w:t>
      </w:r>
      <w:r>
        <w:t xml:space="preserve"> изложить в следующей редакции</w:t>
      </w:r>
      <w:r w:rsidRPr="001D0B71">
        <w:t>:</w:t>
      </w:r>
    </w:p>
    <w:p w:rsidR="00077F56" w:rsidRDefault="00077F56" w:rsidP="00077F56">
      <w:pPr>
        <w:ind w:firstLine="567"/>
        <w:jc w:val="both"/>
      </w:pPr>
      <w:r>
        <w:t xml:space="preserve">«2.3. </w:t>
      </w:r>
      <w:r w:rsidRPr="00077F56">
        <w:t xml:space="preserve">Рекомендуемые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 и учреждений </w:t>
      </w:r>
      <w:r w:rsidRPr="00077F56">
        <w:lastRenderedPageBreak/>
        <w:t>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ПКГ, утвержденным приказом Министерства здравоохранения и социального развития Российс</w:t>
      </w:r>
      <w:r>
        <w:t>кой Федерации от 5 мая 2008 г. № 216н «</w:t>
      </w:r>
      <w:r w:rsidRPr="00077F56">
        <w:t>Об утверждении профессиональных квалификационных групп до</w:t>
      </w:r>
      <w:r>
        <w:t>лжностей работников образования»</w:t>
      </w:r>
      <w:r w:rsidRPr="00077F56">
        <w:t>:</w:t>
      </w:r>
    </w:p>
    <w:p w:rsidR="00077F56" w:rsidRDefault="00077F56" w:rsidP="00077F5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033"/>
        <w:gridCol w:w="2100"/>
      </w:tblGrid>
      <w:tr w:rsidR="00077F56" w:rsidTr="00AA6BF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bookmarkStart w:id="7" w:name="sub_2310"/>
            <w:r>
              <w:t>Профессиональные квалификационные группы должностей</w:t>
            </w:r>
            <w:bookmarkEnd w:id="7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Квалификационные уровни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077F56" w:rsidTr="00AA6BF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3</w:t>
            </w:r>
          </w:p>
        </w:tc>
      </w:tr>
      <w:tr w:rsidR="00077F56" w:rsidTr="00AA6BF7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>
              <w:t>6383</w:t>
            </w:r>
          </w:p>
        </w:tc>
      </w:tr>
      <w:tr w:rsidR="00077F56" w:rsidTr="00AA6BF7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1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7870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2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7870</w:t>
            </w:r>
          </w:p>
        </w:tc>
      </w:tr>
      <w:tr w:rsidR="00077F56" w:rsidTr="00AA6BF7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1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8050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2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8050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>3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8050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>
              <w:t xml:space="preserve">4 квалификационный </w:t>
            </w:r>
            <w:r>
              <w:t>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077F56">
            <w:pPr>
              <w:pStyle w:val="aa"/>
              <w:jc w:val="center"/>
            </w:pPr>
            <w:r>
              <w:t>8834</w:t>
            </w:r>
          </w:p>
        </w:tc>
      </w:tr>
      <w:tr w:rsidR="00077F56" w:rsidTr="00AA6BF7">
        <w:trPr>
          <w:trHeight w:val="452"/>
        </w:trPr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  <w:r w:rsidRPr="00AB60F9">
              <w:t xml:space="preserve">Профессиональная квалификационная группа должностей иных педагогических работников (советник директора по воспитанию и взаимодействию с детскими </w:t>
            </w:r>
            <w:r>
              <w:t>о</w:t>
            </w:r>
            <w:r w:rsidRPr="00AB60F9">
              <w:t>бщественными объединениями)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r w:rsidRPr="00A92128">
              <w:t>4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</w:p>
        </w:tc>
      </w:tr>
      <w:tr w:rsidR="00077F56" w:rsidTr="00AA6BF7">
        <w:trPr>
          <w:trHeight w:val="711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077F56" w:rsidRPr="00AB60F9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proofErr w:type="gramStart"/>
            <w:r w:rsidRPr="00A92128">
              <w:t>при</w:t>
            </w:r>
            <w:proofErr w:type="gramEnd"/>
            <w:r w:rsidRPr="00A92128"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 w:rsidRPr="00A92128">
              <w:t>5889</w:t>
            </w:r>
          </w:p>
        </w:tc>
      </w:tr>
      <w:tr w:rsidR="00077F56" w:rsidTr="00AA6BF7">
        <w:trPr>
          <w:trHeight w:val="1874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7F56" w:rsidRPr="00AB60F9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proofErr w:type="gramStart"/>
            <w:r w:rsidRPr="00A92128">
              <w:t>при</w:t>
            </w:r>
            <w:proofErr w:type="gramEnd"/>
            <w:r w:rsidRPr="00A92128"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077F56" w:rsidP="00AA6BF7">
            <w:pPr>
              <w:pStyle w:val="aa"/>
              <w:jc w:val="center"/>
            </w:pPr>
            <w:r w:rsidRPr="00A92128">
              <w:t>5421</w:t>
            </w:r>
          </w:p>
        </w:tc>
      </w:tr>
      <w:tr w:rsidR="00077F56" w:rsidTr="00AA6BF7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b"/>
            </w:pPr>
            <w:bookmarkStart w:id="8" w:name="sub_231"/>
            <w:r>
              <w:t>Профессиональная квалификационная группа должностей руководителей структурных подразделений</w:t>
            </w:r>
            <w:bookmarkEnd w:id="8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53235F" w:rsidP="00AA6BF7">
            <w:pPr>
              <w:pStyle w:val="ab"/>
            </w:pPr>
            <w:r>
              <w:t>1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53235F" w:rsidP="00AA6BF7">
            <w:pPr>
              <w:pStyle w:val="aa"/>
            </w:pPr>
            <w:r>
              <w:t>8659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53235F" w:rsidP="00AA6BF7">
            <w:pPr>
              <w:pStyle w:val="ab"/>
            </w:pPr>
            <w:r>
              <w:t>2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53235F" w:rsidP="00AA6BF7">
            <w:pPr>
              <w:pStyle w:val="aa"/>
            </w:pPr>
            <w:r>
              <w:t>9508</w:t>
            </w:r>
          </w:p>
        </w:tc>
      </w:tr>
      <w:tr w:rsidR="00077F56" w:rsidTr="00AA6BF7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077F56" w:rsidP="00AA6BF7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56" w:rsidRDefault="0053235F" w:rsidP="00AA6BF7">
            <w:pPr>
              <w:pStyle w:val="ab"/>
            </w:pPr>
            <w:r>
              <w:t>3 квалификационный уровень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56" w:rsidRDefault="0053235F" w:rsidP="00AA6BF7">
            <w:pPr>
              <w:pStyle w:val="aa"/>
            </w:pPr>
            <w:r>
              <w:t>10424</w:t>
            </w:r>
          </w:p>
        </w:tc>
      </w:tr>
      <w:bookmarkEnd w:id="6"/>
    </w:tbl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35F" w:rsidRPr="0053235F" w:rsidRDefault="0053235F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235F">
        <w:rPr>
          <w:rFonts w:ascii="Times New Roman CYR" w:eastAsiaTheme="minorEastAsia" w:hAnsi="Times New Roman CYR" w:cs="Times New Roman CYR"/>
        </w:rPr>
        <w:t>Оклады заместителей руководителей структурных подразделений рекомендуется устанавливать на 5-10 процентов ниже окладов соответствующих руководителей.</w:t>
      </w:r>
    </w:p>
    <w:p w:rsidR="0053235F" w:rsidRPr="0053235F" w:rsidRDefault="0053235F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3235F" w:rsidRPr="0053235F" w:rsidRDefault="0053235F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235F">
        <w:rPr>
          <w:rFonts w:ascii="Times New Roman CYR" w:eastAsiaTheme="minorEastAsia" w:hAnsi="Times New Roman CYR" w:cs="Times New Roman CYR"/>
        </w:rPr>
        <w:t>Для работников, осуществляющих преподавательскую деятельность, может применяться почасовая оплата труда.</w:t>
      </w:r>
    </w:p>
    <w:p w:rsidR="0053235F" w:rsidRDefault="0053235F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235F">
        <w:rPr>
          <w:rFonts w:ascii="Times New Roman CYR" w:eastAsiaTheme="minorEastAsia" w:hAnsi="Times New Roman CYR" w:cs="Times New Roman CYR"/>
        </w:rPr>
        <w:lastRenderedPageBreak/>
        <w:t>Вопросы почасовой оплаты труда работников учреждений регулируются нормативными правовыми актами Российской Федерации.</w:t>
      </w:r>
    </w:p>
    <w:p w:rsidR="003F3313" w:rsidRPr="003F3313" w:rsidRDefault="003F3313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F3313">
        <w:rPr>
          <w:rFonts w:ascii="Times New Roman CYR" w:eastAsiaTheme="minorEastAsia" w:hAnsi="Times New Roman CYR" w:cs="Times New Roman CYR"/>
        </w:rPr>
        <w:t>Минимальные размеры окладов (ставок)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</w:t>
      </w:r>
      <w:r w:rsidR="0053235F">
        <w:rPr>
          <w:rFonts w:ascii="Times New Roman CYR" w:eastAsiaTheme="minorEastAsia" w:hAnsi="Times New Roman CYR" w:cs="Times New Roman CYR"/>
        </w:rPr>
        <w:t>стей педагогических работников.»</w:t>
      </w:r>
      <w:r w:rsidRPr="003F3313">
        <w:rPr>
          <w:rFonts w:ascii="Times New Roman CYR" w:eastAsiaTheme="minorEastAsia" w:hAnsi="Times New Roman CYR" w:cs="Times New Roman CYR"/>
        </w:rPr>
        <w:t>;</w:t>
      </w: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23056"/>
      <w:proofErr w:type="gramStart"/>
      <w:r w:rsidRPr="003F3313">
        <w:rPr>
          <w:rFonts w:ascii="Times New Roman CYR" w:eastAsiaTheme="minorEastAsia" w:hAnsi="Times New Roman CYR" w:cs="Times New Roman CYR"/>
        </w:rPr>
        <w:t>в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пункте 2.4:</w:t>
      </w:r>
    </w:p>
    <w:bookmarkEnd w:id="9"/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3F3313">
        <w:rPr>
          <w:rFonts w:ascii="Times New Roman CYR" w:eastAsiaTheme="minorEastAsia" w:hAnsi="Times New Roman CYR" w:cs="Times New Roman CYR"/>
        </w:rPr>
        <w:t>слова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</w:t>
      </w:r>
      <w:r w:rsidR="0053235F">
        <w:rPr>
          <w:rFonts w:ascii="Times New Roman CYR" w:eastAsiaTheme="minorEastAsia" w:hAnsi="Times New Roman CYR" w:cs="Times New Roman CYR"/>
        </w:rPr>
        <w:t>«коэффициент за сложность»</w:t>
      </w:r>
      <w:r w:rsidRPr="003F3313">
        <w:rPr>
          <w:rFonts w:ascii="Times New Roman CYR" w:eastAsiaTheme="minorEastAsia" w:hAnsi="Times New Roman CYR" w:cs="Times New Roman CYR"/>
        </w:rPr>
        <w:t xml:space="preserve"> исключить;</w:t>
      </w:r>
    </w:p>
    <w:p w:rsidR="003F3313" w:rsidRPr="003F3313" w:rsidRDefault="003F3313" w:rsidP="005323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23054"/>
      <w:proofErr w:type="gramStart"/>
      <w:r w:rsidRPr="003F3313">
        <w:rPr>
          <w:rFonts w:ascii="Times New Roman CYR" w:eastAsiaTheme="minorEastAsia" w:hAnsi="Times New Roman CYR" w:cs="Times New Roman CYR"/>
        </w:rPr>
        <w:t>пункт</w:t>
      </w:r>
      <w:proofErr w:type="gramEnd"/>
      <w:r w:rsidRPr="003F3313">
        <w:rPr>
          <w:rFonts w:ascii="Times New Roman CYR" w:eastAsiaTheme="minorEastAsia" w:hAnsi="Times New Roman CYR" w:cs="Times New Roman CYR"/>
        </w:rPr>
        <w:t xml:space="preserve"> 2.7 изложить в следующей редакции:</w:t>
      </w:r>
    </w:p>
    <w:p w:rsidR="003F3313" w:rsidRPr="003F3313" w:rsidRDefault="0053235F" w:rsidP="0053235F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bookmarkStart w:id="11" w:name="sub_23055"/>
      <w:bookmarkEnd w:id="10"/>
      <w:r>
        <w:rPr>
          <w:rFonts w:eastAsiaTheme="minorEastAsia"/>
          <w:sz w:val="23"/>
          <w:szCs w:val="23"/>
        </w:rPr>
        <w:t>«2.7</w:t>
      </w:r>
      <w:r w:rsidR="003F3313" w:rsidRPr="003F3313">
        <w:rPr>
          <w:rFonts w:eastAsiaTheme="minorEastAsia"/>
          <w:sz w:val="23"/>
          <w:szCs w:val="23"/>
        </w:rPr>
        <w:t>. Педагогическим работникам, работникам учебно-вспомогательного персонала, научным работникам, профессорско-преподавательскому составу,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работ, непосредственно связанных с образовательной деятельностью, выполняемых по их письменному согласию. К таким видам работ относятся проверка письменных работ, руководство методическими объединениями, заведование учебными кабинетами (включая кабинет профориентации, информатики, спортивный зал), лабораториями, архивом, учебными мастерскими и учебно-опытными участками.</w:t>
      </w:r>
    </w:p>
    <w:p w:rsidR="003F3313" w:rsidRPr="003F3313" w:rsidRDefault="003F3313" w:rsidP="0053235F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r w:rsidRPr="003F3313">
        <w:rPr>
          <w:rFonts w:eastAsiaTheme="minorEastAsia"/>
          <w:sz w:val="23"/>
          <w:szCs w:val="23"/>
        </w:rPr>
        <w:t>За классное руководство выплачивается ежемесячное вознаграждение в размере, установленном нормативными правовыми актами Российской Федерации и нормативными правовыми актами Чувашской Республики.</w:t>
      </w:r>
    </w:p>
    <w:p w:rsidR="003F3313" w:rsidRPr="003F3313" w:rsidRDefault="003F3313" w:rsidP="0053235F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r w:rsidRPr="003F3313">
        <w:rPr>
          <w:rFonts w:eastAsiaTheme="minorEastAsia"/>
          <w:sz w:val="23"/>
          <w:szCs w:val="23"/>
        </w:rPr>
        <w:t>Рекомендуемые размеры персональных коэффициентов: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3585"/>
        <w:gridCol w:w="2213"/>
      </w:tblGrid>
      <w:tr w:rsidR="003F3313" w:rsidRPr="003F3313" w:rsidTr="0053235F"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Профессиональные квалификационные группы должностей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Квалификационные уровни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Размеры коэффициентов к окладам (ставкам)</w:t>
            </w:r>
          </w:p>
        </w:tc>
      </w:tr>
      <w:tr w:rsidR="003F3313" w:rsidRPr="003F3313" w:rsidTr="0053235F"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center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3</w:t>
            </w:r>
          </w:p>
        </w:tc>
      </w:tr>
      <w:tr w:rsidR="003F3313" w:rsidRPr="003F3313" w:rsidTr="0053235F"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0,02</w:t>
            </w:r>
          </w:p>
        </w:tc>
      </w:tr>
      <w:tr w:rsidR="003F3313" w:rsidRPr="003F3313" w:rsidTr="0053235F">
        <w:trPr>
          <w:trHeight w:val="240"/>
        </w:trPr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0,05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0,10</w:t>
            </w:r>
          </w:p>
        </w:tc>
      </w:tr>
      <w:tr w:rsidR="003F3313" w:rsidRPr="003F3313" w:rsidTr="0053235F">
        <w:trPr>
          <w:trHeight w:val="240"/>
        </w:trPr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0,12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0,15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0,18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0,20</w:t>
            </w:r>
          </w:p>
        </w:tc>
      </w:tr>
      <w:tr w:rsidR="003F3313" w:rsidRPr="003F3313" w:rsidTr="0053235F">
        <w:trPr>
          <w:trHeight w:val="240"/>
        </w:trPr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0,20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0,22</w:t>
            </w:r>
          </w:p>
        </w:tc>
      </w:tr>
      <w:tr w:rsidR="003F3313" w:rsidRPr="003F3313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313" w:rsidRPr="003F3313" w:rsidRDefault="003F3313" w:rsidP="003F3313">
            <w:pPr>
              <w:jc w:val="both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r w:rsidRPr="003F3313">
              <w:rPr>
                <w:rFonts w:eastAsiaTheme="minorEastAsia"/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3313" w:rsidRPr="003F3313" w:rsidRDefault="003F3313" w:rsidP="003F3313">
            <w:pPr>
              <w:rPr>
                <w:rFonts w:eastAsiaTheme="minorEastAsia"/>
                <w:sz w:val="23"/>
                <w:szCs w:val="23"/>
              </w:rPr>
            </w:pPr>
            <w:proofErr w:type="gramStart"/>
            <w:r w:rsidRPr="003F3313">
              <w:rPr>
                <w:rFonts w:eastAsiaTheme="minorEastAsia"/>
                <w:sz w:val="23"/>
                <w:szCs w:val="23"/>
              </w:rPr>
              <w:t>до</w:t>
            </w:r>
            <w:proofErr w:type="gramEnd"/>
            <w:r w:rsidRPr="003F3313">
              <w:rPr>
                <w:rFonts w:eastAsiaTheme="minorEastAsia"/>
                <w:sz w:val="23"/>
                <w:szCs w:val="23"/>
              </w:rPr>
              <w:t xml:space="preserve"> 0,25</w:t>
            </w:r>
          </w:p>
        </w:tc>
      </w:tr>
    </w:tbl>
    <w:p w:rsidR="003F3313" w:rsidRPr="003F3313" w:rsidRDefault="003F3313" w:rsidP="0053235F">
      <w:pPr>
        <w:shd w:val="clear" w:color="auto" w:fill="FFFFFF"/>
        <w:ind w:firstLine="567"/>
        <w:jc w:val="both"/>
        <w:rPr>
          <w:rFonts w:eastAsiaTheme="minorEastAsia"/>
          <w:sz w:val="23"/>
          <w:szCs w:val="23"/>
        </w:rPr>
      </w:pPr>
      <w:r w:rsidRPr="003F3313">
        <w:rPr>
          <w:rFonts w:eastAsiaTheme="minorEastAsia"/>
          <w:sz w:val="23"/>
          <w:szCs w:val="23"/>
        </w:rPr>
        <w:t>Решение об установлении персонального коэффициента, его размерах принимается руководителем учреждения персонально в отношении каждого работника. Персональный коэффициент не применяется при оплате труда педагогических работников за установленную при тарификации учебную нагрузку (педагогическую работу).</w:t>
      </w:r>
    </w:p>
    <w:p w:rsidR="003F3313" w:rsidRPr="003F3313" w:rsidRDefault="003F3313" w:rsidP="0053235F">
      <w:pPr>
        <w:shd w:val="clear" w:color="auto" w:fill="FFFFFF"/>
        <w:jc w:val="both"/>
        <w:rPr>
          <w:rFonts w:eastAsiaTheme="minorEastAsia"/>
          <w:sz w:val="23"/>
          <w:szCs w:val="23"/>
        </w:rPr>
      </w:pPr>
      <w:r w:rsidRPr="003F3313">
        <w:rPr>
          <w:rFonts w:eastAsiaTheme="minorEastAsia"/>
          <w:sz w:val="23"/>
          <w:szCs w:val="23"/>
        </w:rPr>
        <w:t>Применение персонального коэффициента не учитывается при начислении иных стимулирующих и компенсационных выплат, устанавливаемых в процентном отношении к размеру оклада (ставки).</w:t>
      </w:r>
      <w:r w:rsidR="0053235F">
        <w:rPr>
          <w:rFonts w:eastAsiaTheme="minorEastAsia"/>
          <w:sz w:val="23"/>
          <w:szCs w:val="23"/>
        </w:rPr>
        <w:t>»</w:t>
      </w:r>
      <w:r w:rsidRPr="003F3313">
        <w:rPr>
          <w:rFonts w:eastAsiaTheme="minorEastAsia"/>
          <w:sz w:val="23"/>
          <w:szCs w:val="23"/>
        </w:rPr>
        <w:t>;</w:t>
      </w:r>
    </w:p>
    <w:p w:rsidR="003F3313" w:rsidRPr="003F3313" w:rsidRDefault="0053235F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23057"/>
      <w:bookmarkEnd w:id="11"/>
      <w:r>
        <w:rPr>
          <w:rFonts w:ascii="Times New Roman CYR" w:eastAsiaTheme="minorEastAsia" w:hAnsi="Times New Roman CYR" w:cs="Times New Roman CYR"/>
        </w:rPr>
        <w:t>3) пункт</w:t>
      </w:r>
      <w:r w:rsidR="003F3313" w:rsidRPr="003F3313">
        <w:rPr>
          <w:rFonts w:ascii="Times New Roman CYR" w:eastAsiaTheme="minorEastAsia" w:hAnsi="Times New Roman CYR" w:cs="Times New Roman CYR"/>
        </w:rPr>
        <w:t xml:space="preserve"> 3.1 раздела III</w:t>
      </w:r>
      <w:r>
        <w:rPr>
          <w:rFonts w:ascii="Times New Roman CYR" w:eastAsiaTheme="minorEastAsia" w:hAnsi="Times New Roman CYR" w:cs="Times New Roman CYR"/>
        </w:rPr>
        <w:t xml:space="preserve"> изложить в следующей редакции</w:t>
      </w:r>
      <w:r w:rsidR="003F3313" w:rsidRPr="003F3313">
        <w:rPr>
          <w:rFonts w:ascii="Times New Roman CYR" w:eastAsiaTheme="minorEastAsia" w:hAnsi="Times New Roman CYR" w:cs="Times New Roman CYR"/>
        </w:rPr>
        <w:t>:</w:t>
      </w:r>
    </w:p>
    <w:bookmarkEnd w:id="12"/>
    <w:p w:rsidR="0053235F" w:rsidRDefault="0053235F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Pr="0053235F">
        <w:rPr>
          <w:rFonts w:ascii="Times New Roman CYR" w:eastAsiaTheme="minorEastAsia" w:hAnsi="Times New Roman CYR" w:cs="Times New Roman CYR"/>
        </w:rPr>
        <w:t xml:space="preserve">3.1 Рекомендуемые минимальные размеры окладов (ставок) работников учреждений, занимающих должности служащих (за исключением работников, указанных в </w:t>
      </w:r>
      <w:r w:rsidRPr="0053235F">
        <w:rPr>
          <w:rFonts w:ascii="Times New Roman CYR" w:eastAsiaTheme="minorEastAsia" w:hAnsi="Times New Roman CYR" w:cs="Times New Roman CYR"/>
        </w:rPr>
        <w:lastRenderedPageBreak/>
        <w:t>разделе II настоящего Положения), устанавливаются по профессиональным квалификационным группам должностей руководителей, специалистов и служащих, утвержденным приказом Министерства здравоохранения и социального развития Российск</w:t>
      </w:r>
      <w:r>
        <w:rPr>
          <w:rFonts w:ascii="Times New Roman CYR" w:eastAsiaTheme="minorEastAsia" w:hAnsi="Times New Roman CYR" w:cs="Times New Roman CYR"/>
        </w:rPr>
        <w:t>ой Федерации от 29 мая 2008 г. № 247н «</w:t>
      </w:r>
      <w:r w:rsidRPr="0053235F">
        <w:rPr>
          <w:rFonts w:ascii="Times New Roman CYR" w:eastAsiaTheme="minorEastAsia" w:hAnsi="Times New Roman CYR" w:cs="Times New Roman CYR"/>
        </w:rPr>
        <w:t>Об утверждении профессиональных квалификационных групп общеотраслевых должностей руковод</w:t>
      </w:r>
      <w:r>
        <w:rPr>
          <w:rFonts w:ascii="Times New Roman CYR" w:eastAsiaTheme="minorEastAsia" w:hAnsi="Times New Roman CYR" w:cs="Times New Roman CYR"/>
        </w:rPr>
        <w:t>ителей, специалистов и служащих»</w:t>
      </w:r>
      <w:r w:rsidRPr="0053235F">
        <w:rPr>
          <w:rFonts w:ascii="Times New Roman CYR" w:eastAsiaTheme="minorEastAsia" w:hAnsi="Times New Roman CYR" w:cs="Times New Roman CYR"/>
        </w:rPr>
        <w:t>:</w:t>
      </w:r>
    </w:p>
    <w:tbl>
      <w:tblPr>
        <w:tblW w:w="9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4291"/>
        <w:gridCol w:w="2213"/>
      </w:tblGrid>
      <w:tr w:rsidR="0053235F" w:rsidRPr="0053235F" w:rsidTr="0053235F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Профессиональные квалификационные группы должностей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Квалификационные уровни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Рекомендуемый минимальный размер оклада (ставки), рублей</w:t>
            </w:r>
          </w:p>
        </w:tc>
      </w:tr>
      <w:tr w:rsidR="0053235F" w:rsidRPr="0053235F" w:rsidTr="0053235F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3</w:t>
            </w:r>
          </w:p>
        </w:tc>
      </w:tr>
      <w:tr w:rsidR="0053235F" w:rsidRPr="0053235F" w:rsidTr="0053235F"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6383</w:t>
            </w:r>
          </w:p>
        </w:tc>
      </w:tr>
      <w:tr w:rsidR="0053235F" w:rsidRPr="0053235F" w:rsidTr="0053235F">
        <w:trPr>
          <w:trHeight w:val="240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1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7870</w:t>
            </w:r>
          </w:p>
        </w:tc>
      </w:tr>
      <w:tr w:rsidR="0053235F" w:rsidRPr="0053235F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2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7870</w:t>
            </w:r>
          </w:p>
        </w:tc>
      </w:tr>
      <w:tr w:rsidR="0053235F" w:rsidRPr="0053235F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3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7870</w:t>
            </w:r>
          </w:p>
        </w:tc>
      </w:tr>
      <w:tr w:rsidR="0053235F" w:rsidRPr="0053235F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4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7870</w:t>
            </w:r>
          </w:p>
        </w:tc>
      </w:tr>
      <w:tr w:rsidR="0053235F" w:rsidRPr="0053235F" w:rsidTr="005323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5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7102E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8659</w:t>
            </w:r>
          </w:p>
        </w:tc>
      </w:tr>
      <w:tr w:rsidR="0053235F" w:rsidRPr="0053235F" w:rsidTr="0053235F">
        <w:trPr>
          <w:trHeight w:val="240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1 квалификационный уровень: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7102EF" w:rsidP="0053235F">
            <w:pPr>
              <w:pStyle w:val="empty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7106</w:t>
            </w:r>
          </w:p>
        </w:tc>
      </w:tr>
      <w:tr w:rsidR="0053235F" w:rsidRPr="0053235F" w:rsidTr="00710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35F" w:rsidRPr="0053235F" w:rsidRDefault="007102E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7817</w:t>
            </w:r>
          </w:p>
        </w:tc>
      </w:tr>
      <w:tr w:rsidR="0053235F" w:rsidRPr="0053235F" w:rsidTr="00710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35F" w:rsidRPr="0053235F" w:rsidRDefault="007102E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8576</w:t>
            </w:r>
          </w:p>
        </w:tc>
      </w:tr>
      <w:tr w:rsidR="0053235F" w:rsidRPr="0053235F" w:rsidTr="00710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4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35F" w:rsidRPr="0053235F" w:rsidRDefault="007102E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10300</w:t>
            </w:r>
          </w:p>
        </w:tc>
      </w:tr>
      <w:tr w:rsidR="0053235F" w:rsidRPr="0053235F" w:rsidTr="007102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35F" w:rsidRPr="0053235F" w:rsidRDefault="0053235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35F" w:rsidRPr="0053235F" w:rsidRDefault="0053235F">
            <w:pPr>
              <w:pStyle w:val="s16"/>
              <w:spacing w:before="0" w:beforeAutospacing="0" w:after="0" w:afterAutospacing="0"/>
              <w:rPr>
                <w:sz w:val="23"/>
                <w:szCs w:val="23"/>
              </w:rPr>
            </w:pPr>
            <w:r w:rsidRPr="0053235F">
              <w:rPr>
                <w:sz w:val="23"/>
                <w:szCs w:val="23"/>
              </w:rPr>
              <w:t>5 квалификационный уровень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235F" w:rsidRPr="0053235F" w:rsidRDefault="007102EF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10528</w:t>
            </w:r>
          </w:p>
        </w:tc>
      </w:tr>
    </w:tbl>
    <w:p w:rsidR="0053235F" w:rsidRPr="007102EF" w:rsidRDefault="007102EF" w:rsidP="007102EF">
      <w:pPr>
        <w:pStyle w:val="empty"/>
        <w:shd w:val="clear" w:color="auto" w:fill="FFFFFF"/>
        <w:ind w:firstLine="567"/>
        <w:jc w:val="both"/>
      </w:pPr>
      <w:r w:rsidRPr="007102EF"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пункте 6.2 настоящего Положения.</w:t>
      </w:r>
    </w:p>
    <w:p w:rsidR="003F3313" w:rsidRPr="003F3313" w:rsidRDefault="007102EF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4) </w:t>
      </w:r>
      <w:r w:rsidR="003F3313" w:rsidRPr="003F3313">
        <w:rPr>
          <w:rFonts w:ascii="Times New Roman CYR" w:eastAsiaTheme="minorEastAsia" w:hAnsi="Times New Roman CYR" w:cs="Times New Roman CYR"/>
        </w:rPr>
        <w:t>таблицу пункта 4.1 раздела IV изложить в следующей редакции:</w:t>
      </w: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403"/>
        <w:gridCol w:w="2558"/>
        <w:gridCol w:w="2127"/>
      </w:tblGrid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"Профессиональные квалификационные группы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Квалификационные уровни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Рекомендуемый минимальный размер оклада (ставки), рублей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4897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5386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5915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6511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lastRenderedPageBreak/>
              <w:t>Профессиональная квалификационная группа профессий рабочих второго уровня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1 квалификационный 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4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6808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5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7232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2 квалификационный 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6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7660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7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8083</w:t>
            </w:r>
          </w:p>
        </w:tc>
      </w:tr>
      <w:tr w:rsidR="003F3313" w:rsidRPr="003F3313" w:rsidTr="00CA2298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3 квалификационный уровень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3" w:rsidRPr="003F3313" w:rsidRDefault="003F3313" w:rsidP="003F33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313" w:rsidRPr="003F3313" w:rsidRDefault="000D088E" w:rsidP="003F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8576</w:t>
            </w:r>
            <w:r w:rsidR="003F3313" w:rsidRPr="003F331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.</w:t>
            </w:r>
          </w:p>
        </w:tc>
      </w:tr>
    </w:tbl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F3313" w:rsidRPr="003F3313" w:rsidRDefault="003F3313" w:rsidP="003F3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2"/>
      <w:r w:rsidRPr="003F3313">
        <w:rPr>
          <w:rFonts w:ascii="Times New Roman CYR" w:eastAsiaTheme="minorEastAsia" w:hAnsi="Times New Roman CYR" w:cs="Times New Roman CYR"/>
        </w:rPr>
        <w:t>2. Настоящее постановление вступает в силу после его официального опубликования.</w:t>
      </w:r>
    </w:p>
    <w:p w:rsidR="003F3313" w:rsidRPr="003F3313" w:rsidRDefault="003F3313" w:rsidP="000D08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21"/>
      <w:bookmarkEnd w:id="13"/>
      <w:r w:rsidRPr="003F3313">
        <w:rPr>
          <w:rFonts w:ascii="Times New Roman CYR" w:eastAsiaTheme="minorEastAsia" w:hAnsi="Times New Roman CYR" w:cs="Times New Roman CYR"/>
        </w:rPr>
        <w:t xml:space="preserve">Действие положений </w:t>
      </w:r>
      <w:r w:rsidR="000D088E">
        <w:rPr>
          <w:rFonts w:ascii="Times New Roman CYR" w:eastAsiaTheme="minorEastAsia" w:hAnsi="Times New Roman CYR" w:cs="Times New Roman CYR"/>
        </w:rPr>
        <w:t xml:space="preserve">абзаца восьмого подпункта 2 </w:t>
      </w:r>
      <w:r w:rsidRPr="003F3313">
        <w:rPr>
          <w:rFonts w:ascii="Times New Roman CYR" w:eastAsiaTheme="minorEastAsia" w:hAnsi="Times New Roman CYR" w:cs="Times New Roman CYR"/>
        </w:rPr>
        <w:t>пункта 1 настоящего постановления распространяется на правоотношения, возникшие с 1 сентября 2022 года.</w:t>
      </w:r>
    </w:p>
    <w:p w:rsidR="003F3313" w:rsidRPr="003F3313" w:rsidRDefault="003F3313" w:rsidP="000D08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22"/>
      <w:bookmarkEnd w:id="14"/>
      <w:r w:rsidRPr="003F3313">
        <w:rPr>
          <w:rFonts w:ascii="Times New Roman CYR" w:eastAsiaTheme="minorEastAsia" w:hAnsi="Times New Roman CYR" w:cs="Times New Roman CYR"/>
        </w:rPr>
        <w:t xml:space="preserve">Действие положений </w:t>
      </w:r>
      <w:r w:rsidR="000D088E">
        <w:rPr>
          <w:rFonts w:ascii="Times New Roman CYR" w:eastAsiaTheme="minorEastAsia" w:hAnsi="Times New Roman CYR" w:cs="Times New Roman CYR"/>
        </w:rPr>
        <w:t xml:space="preserve">абзаца четвертого </w:t>
      </w:r>
      <w:r w:rsidR="000D088E" w:rsidRPr="000D088E">
        <w:rPr>
          <w:rFonts w:ascii="Times New Roman CYR" w:eastAsiaTheme="minorEastAsia" w:hAnsi="Times New Roman CYR" w:cs="Times New Roman CYR"/>
        </w:rPr>
        <w:t>подпункта 2 пункта 1</w:t>
      </w:r>
      <w:r w:rsidR="000D088E">
        <w:rPr>
          <w:rFonts w:ascii="Times New Roman CYR" w:eastAsiaTheme="minorEastAsia" w:hAnsi="Times New Roman CYR" w:cs="Times New Roman CYR"/>
        </w:rPr>
        <w:t xml:space="preserve">, абзаца второго подпункта 3 пункта 1, подпункта 4 пункта 1 </w:t>
      </w:r>
      <w:bookmarkStart w:id="16" w:name="_GoBack"/>
      <w:bookmarkEnd w:id="16"/>
      <w:r w:rsidRPr="003F3313">
        <w:rPr>
          <w:rFonts w:ascii="Times New Roman CYR" w:eastAsiaTheme="minorEastAsia" w:hAnsi="Times New Roman CYR" w:cs="Times New Roman CYR"/>
        </w:rPr>
        <w:t>настоящего постановления распространяется на правоотношения, возникшие с 1 октября 2022 года.</w:t>
      </w:r>
    </w:p>
    <w:bookmarkEnd w:id="15"/>
    <w:p w:rsidR="00F05046" w:rsidRPr="003F3313" w:rsidRDefault="00AB60F9" w:rsidP="001D0B71">
      <w:pPr>
        <w:ind w:firstLine="708"/>
        <w:jc w:val="both"/>
      </w:pPr>
      <w:r w:rsidRPr="003F3313">
        <w:t>3</w:t>
      </w:r>
      <w:r w:rsidR="00F05046" w:rsidRPr="003F3313">
        <w:t xml:space="preserve">.  Контроль за исполнением настоящего </w:t>
      </w:r>
      <w:r w:rsidR="00A92128" w:rsidRPr="003F3313">
        <w:t>постановления</w:t>
      </w:r>
      <w:r w:rsidR="00F05046" w:rsidRPr="003F3313">
        <w:t xml:space="preserve"> </w:t>
      </w:r>
      <w:r w:rsidR="00780649" w:rsidRPr="003F3313">
        <w:t xml:space="preserve">возложить на заместителя главы по вопросам социальной политики – начальника </w:t>
      </w:r>
      <w:r w:rsidR="00DA3753" w:rsidRPr="003F3313">
        <w:t>МКУ «Отдел</w:t>
      </w:r>
      <w:r w:rsidR="00780649" w:rsidRPr="003F3313">
        <w:t xml:space="preserve"> образования и молодежной политики администрации города Канаш Суркову Н.В. </w:t>
      </w:r>
    </w:p>
    <w:p w:rsidR="0042180D" w:rsidRPr="003F3313" w:rsidRDefault="0042180D" w:rsidP="001D0B71">
      <w:pPr>
        <w:ind w:right="180" w:firstLine="425"/>
        <w:jc w:val="both"/>
      </w:pPr>
    </w:p>
    <w:p w:rsidR="0042180D" w:rsidRPr="003F3313" w:rsidRDefault="0042180D" w:rsidP="001D0B71">
      <w:pPr>
        <w:ind w:right="180" w:firstLine="426"/>
        <w:jc w:val="both"/>
      </w:pPr>
    </w:p>
    <w:p w:rsidR="0042180D" w:rsidRPr="003F3313" w:rsidRDefault="0042180D" w:rsidP="001D0B71">
      <w:pPr>
        <w:ind w:right="180" w:firstLine="426"/>
        <w:jc w:val="both"/>
      </w:pPr>
    </w:p>
    <w:p w:rsidR="005C3938" w:rsidRPr="003F3313" w:rsidRDefault="005C3938" w:rsidP="00A92128">
      <w:pPr>
        <w:pStyle w:val="6"/>
        <w:spacing w:before="0" w:after="0"/>
        <w:ind w:right="-1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города                        </w:t>
      </w:r>
      <w:r w:rsidR="008E5340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8E5340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D43C1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A92128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D43C1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AB60F9">
      <w:pPr>
        <w:ind w:left="360"/>
        <w:jc w:val="center"/>
        <w:rPr>
          <w:b/>
        </w:rPr>
      </w:pPr>
    </w:p>
    <w:p w:rsidR="00AB60F9" w:rsidRPr="003F3313" w:rsidRDefault="00AB60F9" w:rsidP="000D088E">
      <w:pPr>
        <w:rPr>
          <w:b/>
        </w:rPr>
      </w:pPr>
    </w:p>
    <w:sectPr w:rsidR="00AB60F9" w:rsidRPr="003F3313" w:rsidSect="005323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6F1"/>
    <w:multiLevelType w:val="hybridMultilevel"/>
    <w:tmpl w:val="0102F0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100CB"/>
    <w:multiLevelType w:val="hybridMultilevel"/>
    <w:tmpl w:val="8996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D1439"/>
    <w:multiLevelType w:val="multilevel"/>
    <w:tmpl w:val="03042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3F7497F"/>
    <w:multiLevelType w:val="multilevel"/>
    <w:tmpl w:val="C0946B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4CA35588"/>
    <w:multiLevelType w:val="multilevel"/>
    <w:tmpl w:val="2DAA4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1E90107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74F3514C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7BE6026D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7D60159F"/>
    <w:multiLevelType w:val="multilevel"/>
    <w:tmpl w:val="64CA09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74A0B"/>
    <w:rsid w:val="00077F56"/>
    <w:rsid w:val="000D088E"/>
    <w:rsid w:val="000D0A5D"/>
    <w:rsid w:val="000D43C1"/>
    <w:rsid w:val="000E0C09"/>
    <w:rsid w:val="000E2C44"/>
    <w:rsid w:val="001123B1"/>
    <w:rsid w:val="00195341"/>
    <w:rsid w:val="001D0B71"/>
    <w:rsid w:val="0020699D"/>
    <w:rsid w:val="002B0340"/>
    <w:rsid w:val="002C2900"/>
    <w:rsid w:val="003C0DED"/>
    <w:rsid w:val="003C5F9E"/>
    <w:rsid w:val="003F3313"/>
    <w:rsid w:val="00414371"/>
    <w:rsid w:val="0042180D"/>
    <w:rsid w:val="00437756"/>
    <w:rsid w:val="00473148"/>
    <w:rsid w:val="004A017F"/>
    <w:rsid w:val="004A12A1"/>
    <w:rsid w:val="004E6393"/>
    <w:rsid w:val="004F683F"/>
    <w:rsid w:val="00522580"/>
    <w:rsid w:val="0053235F"/>
    <w:rsid w:val="00545777"/>
    <w:rsid w:val="00573B30"/>
    <w:rsid w:val="005A1396"/>
    <w:rsid w:val="005C3938"/>
    <w:rsid w:val="005C6E99"/>
    <w:rsid w:val="005D571D"/>
    <w:rsid w:val="005D62D7"/>
    <w:rsid w:val="00635B73"/>
    <w:rsid w:val="007102EF"/>
    <w:rsid w:val="00716F87"/>
    <w:rsid w:val="0072513B"/>
    <w:rsid w:val="007431DC"/>
    <w:rsid w:val="00780649"/>
    <w:rsid w:val="00832AA1"/>
    <w:rsid w:val="008C2D72"/>
    <w:rsid w:val="008D1FA8"/>
    <w:rsid w:val="008E5340"/>
    <w:rsid w:val="00925703"/>
    <w:rsid w:val="00926550"/>
    <w:rsid w:val="00936437"/>
    <w:rsid w:val="00993BAC"/>
    <w:rsid w:val="00A23417"/>
    <w:rsid w:val="00A24762"/>
    <w:rsid w:val="00A86147"/>
    <w:rsid w:val="00A92128"/>
    <w:rsid w:val="00A948E8"/>
    <w:rsid w:val="00AA38FB"/>
    <w:rsid w:val="00AB60F9"/>
    <w:rsid w:val="00B0137A"/>
    <w:rsid w:val="00B02D71"/>
    <w:rsid w:val="00B73A88"/>
    <w:rsid w:val="00B81BF7"/>
    <w:rsid w:val="00C458A6"/>
    <w:rsid w:val="00C729A8"/>
    <w:rsid w:val="00C76AD3"/>
    <w:rsid w:val="00CA2298"/>
    <w:rsid w:val="00D06DA5"/>
    <w:rsid w:val="00D2473C"/>
    <w:rsid w:val="00DA3753"/>
    <w:rsid w:val="00E15317"/>
    <w:rsid w:val="00E458D6"/>
    <w:rsid w:val="00E47F0F"/>
    <w:rsid w:val="00E523F7"/>
    <w:rsid w:val="00E749DE"/>
    <w:rsid w:val="00EC72CC"/>
    <w:rsid w:val="00EF18F9"/>
    <w:rsid w:val="00F02082"/>
    <w:rsid w:val="00F05046"/>
    <w:rsid w:val="00F066F0"/>
    <w:rsid w:val="00F62DCF"/>
    <w:rsid w:val="00F93043"/>
    <w:rsid w:val="00FA5027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F172-BBCC-4671-A699-6980B0D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E458D6"/>
    <w:pPr>
      <w:ind w:left="720"/>
      <w:contextualSpacing/>
    </w:pPr>
  </w:style>
  <w:style w:type="paragraph" w:customStyle="1" w:styleId="ConsPlusTitle">
    <w:name w:val="ConsPlusTitle"/>
    <w:rsid w:val="004F6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D0B7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1D0B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53235F"/>
    <w:pPr>
      <w:spacing w:before="100" w:beforeAutospacing="1" w:after="100" w:afterAutospacing="1"/>
    </w:pPr>
  </w:style>
  <w:style w:type="paragraph" w:customStyle="1" w:styleId="s16">
    <w:name w:val="s_16"/>
    <w:basedOn w:val="a"/>
    <w:rsid w:val="0053235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323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5</cp:revision>
  <cp:lastPrinted>2023-05-17T13:35:00Z</cp:lastPrinted>
  <dcterms:created xsi:type="dcterms:W3CDTF">2023-05-17T12:26:00Z</dcterms:created>
  <dcterms:modified xsi:type="dcterms:W3CDTF">2023-05-17T13:43:00Z</dcterms:modified>
</cp:coreProperties>
</file>