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6"/>
        <w:tblW w:w="9605" w:type="dxa"/>
        <w:tblLayout w:type="fixed"/>
        <w:tblLook w:val="0000" w:firstRow="0" w:lastRow="0" w:firstColumn="0" w:lastColumn="0" w:noHBand="0" w:noVBand="0"/>
      </w:tblPr>
      <w:tblGrid>
        <w:gridCol w:w="4219"/>
        <w:gridCol w:w="1417"/>
        <w:gridCol w:w="3969"/>
      </w:tblGrid>
      <w:tr w:rsidR="00163A22">
        <w:tc>
          <w:tcPr>
            <w:tcW w:w="4219" w:type="dxa"/>
          </w:tcPr>
          <w:p w:rsidR="00163A22" w:rsidRDefault="00163A22">
            <w:pPr>
              <w:widowControl/>
              <w:ind w:firstLine="0"/>
              <w:jc w:val="center"/>
              <w:rPr>
                <w:rFonts w:ascii="Arial Cyr Chuv" w:eastAsia="Times New Roman" w:hAnsi="Arial Cyr Chuv" w:cs="Times New Roman"/>
                <w:sz w:val="26"/>
                <w:szCs w:val="20"/>
              </w:rPr>
            </w:pPr>
          </w:p>
          <w:p w:rsidR="00163A22" w:rsidRDefault="00A25058">
            <w:pPr>
              <w:widowControl/>
              <w:spacing w:line="260" w:lineRule="exact"/>
              <w:ind w:firstLine="0"/>
              <w:jc w:val="center"/>
              <w:rPr>
                <w:rFonts w:ascii="Times New Roman Chuv" w:eastAsia="Times New Roman" w:hAnsi="Times New Roman Chuv" w:cs="Times New Roman"/>
                <w:sz w:val="26"/>
                <w:szCs w:val="20"/>
              </w:rPr>
            </w:pPr>
            <w:proofErr w:type="spellStart"/>
            <w:r>
              <w:rPr>
                <w:rFonts w:ascii="Times New Roman Chuv" w:eastAsia="Times New Roman" w:hAnsi="Times New Roman Chuv" w:cs="Times New Roman"/>
                <w:sz w:val="26"/>
                <w:szCs w:val="20"/>
              </w:rPr>
              <w:t>Чёваш</w:t>
            </w:r>
            <w:proofErr w:type="spellEnd"/>
            <w:r>
              <w:rPr>
                <w:rFonts w:ascii="Times New Roman Chuv" w:eastAsia="Times New Roman" w:hAnsi="Times New Roman Chuv" w:cs="Times New Roman"/>
                <w:sz w:val="26"/>
                <w:szCs w:val="20"/>
              </w:rPr>
              <w:t xml:space="preserve"> </w:t>
            </w:r>
            <w:proofErr w:type="spellStart"/>
            <w:r>
              <w:rPr>
                <w:rFonts w:ascii="Times New Roman Chuv" w:eastAsia="Times New Roman" w:hAnsi="Times New Roman Chuv" w:cs="Times New Roman"/>
                <w:sz w:val="26"/>
                <w:szCs w:val="20"/>
              </w:rPr>
              <w:t>Республикин</w:t>
            </w:r>
            <w:proofErr w:type="spellEnd"/>
          </w:p>
          <w:p w:rsidR="00163A22" w:rsidRDefault="00A25058">
            <w:pPr>
              <w:widowControl/>
              <w:spacing w:line="260" w:lineRule="exact"/>
              <w:ind w:firstLine="0"/>
              <w:jc w:val="center"/>
              <w:rPr>
                <w:rFonts w:ascii="Times New Roman Chuv" w:eastAsia="Times New Roman" w:hAnsi="Times New Roman Chuv" w:cs="Times New Roman"/>
                <w:sz w:val="26"/>
                <w:szCs w:val="20"/>
              </w:rPr>
            </w:pPr>
            <w:proofErr w:type="gramStart"/>
            <w:r>
              <w:rPr>
                <w:rFonts w:ascii="Times New Roman Chuv" w:eastAsia="Times New Roman" w:hAnsi="Times New Roman Chuv" w:cs="Times New Roman"/>
                <w:sz w:val="26"/>
                <w:szCs w:val="20"/>
              </w:rPr>
              <w:t>+.н.</w:t>
            </w:r>
            <w:proofErr w:type="gramEnd"/>
            <w:r>
              <w:rPr>
                <w:rFonts w:ascii="Times New Roman Chuv" w:eastAsia="Times New Roman" w:hAnsi="Times New Roman Chuv" w:cs="Times New Roman"/>
                <w:sz w:val="26"/>
                <w:szCs w:val="20"/>
              </w:rPr>
              <w:t xml:space="preserve"> </w:t>
            </w:r>
            <w:proofErr w:type="spellStart"/>
            <w:r>
              <w:rPr>
                <w:rFonts w:ascii="Times New Roman Chuv" w:eastAsia="Times New Roman" w:hAnsi="Times New Roman Chuv" w:cs="Times New Roman"/>
                <w:sz w:val="26"/>
                <w:szCs w:val="20"/>
              </w:rPr>
              <w:t>Шупашкар</w:t>
            </w:r>
            <w:proofErr w:type="spellEnd"/>
            <w:r>
              <w:rPr>
                <w:rFonts w:ascii="Times New Roman Chuv" w:eastAsia="Times New Roman" w:hAnsi="Times New Roman Chuv" w:cs="Times New Roman"/>
                <w:sz w:val="26"/>
                <w:szCs w:val="20"/>
              </w:rPr>
              <w:t xml:space="preserve"> хула</w:t>
            </w:r>
          </w:p>
          <w:p w:rsidR="00163A22" w:rsidRDefault="00A25058">
            <w:pPr>
              <w:widowControl/>
              <w:spacing w:line="260" w:lineRule="exact"/>
              <w:ind w:firstLine="0"/>
              <w:jc w:val="center"/>
              <w:rPr>
                <w:rFonts w:ascii="Times New Roman Chuv" w:eastAsia="Times New Roman" w:hAnsi="Times New Roman Chuv" w:cs="Times New Roman"/>
                <w:sz w:val="26"/>
                <w:szCs w:val="20"/>
              </w:rPr>
            </w:pPr>
            <w:r>
              <w:rPr>
                <w:rFonts w:ascii="Times New Roman Chuv" w:eastAsia="Times New Roman" w:hAnsi="Times New Roman Chuv" w:cs="Times New Roman"/>
                <w:sz w:val="26"/>
                <w:szCs w:val="20"/>
              </w:rPr>
              <w:t>администраций.</w:t>
            </w:r>
          </w:p>
          <w:p w:rsidR="00163A22" w:rsidRDefault="00163A22">
            <w:pPr>
              <w:widowControl/>
              <w:ind w:firstLine="0"/>
              <w:jc w:val="center"/>
              <w:rPr>
                <w:rFonts w:ascii="Times New Roman Chuv" w:eastAsia="Times New Roman" w:hAnsi="Times New Roman Chuv" w:cs="Times New Roman"/>
                <w:sz w:val="26"/>
                <w:szCs w:val="20"/>
              </w:rPr>
            </w:pPr>
          </w:p>
          <w:p w:rsidR="00163A22" w:rsidRDefault="00A25058">
            <w:pPr>
              <w:keepNext/>
              <w:widowControl/>
              <w:ind w:firstLine="0"/>
              <w:jc w:val="center"/>
              <w:outlineLvl w:val="1"/>
              <w:rPr>
                <w:rFonts w:ascii="Times New Roman Chuv" w:eastAsia="Times New Roman" w:hAnsi="Times New Roman Chuv" w:cs="Times New Roman"/>
                <w:sz w:val="28"/>
                <w:szCs w:val="28"/>
              </w:rPr>
            </w:pPr>
            <w:r>
              <w:rPr>
                <w:rFonts w:ascii="Times New Roman Chuv" w:eastAsia="Times New Roman" w:hAnsi="Times New Roman Chuv" w:cs="Times New Roman"/>
                <w:sz w:val="28"/>
                <w:szCs w:val="28"/>
              </w:rPr>
              <w:t>ЙЫШЁНУ</w:t>
            </w:r>
          </w:p>
          <w:p w:rsidR="00163A22" w:rsidRDefault="00163A22">
            <w:pPr>
              <w:widowControl/>
              <w:ind w:firstLine="0"/>
              <w:jc w:val="center"/>
              <w:rPr>
                <w:rFonts w:ascii="TimesET" w:eastAsia="Times New Roman" w:hAnsi="TimesET" w:cs="Times New Roman"/>
                <w:szCs w:val="20"/>
              </w:rPr>
            </w:pPr>
          </w:p>
        </w:tc>
        <w:tc>
          <w:tcPr>
            <w:tcW w:w="1417" w:type="dxa"/>
          </w:tcPr>
          <w:p w:rsidR="00163A22" w:rsidRDefault="00163A22">
            <w:pPr>
              <w:widowControl/>
              <w:ind w:firstLine="0"/>
              <w:jc w:val="left"/>
              <w:rPr>
                <w:rFonts w:ascii="Times New Roman" w:eastAsia="Times New Roman" w:hAnsi="Times New Roman" w:cs="Times New Roman"/>
                <w:sz w:val="20"/>
                <w:szCs w:val="20"/>
              </w:rPr>
            </w:pPr>
          </w:p>
          <w:p w:rsidR="00163A22" w:rsidRDefault="002969A8">
            <w:pPr>
              <w:widowControl/>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A25058">
              <w:rPr>
                <w:rFonts w:ascii="Times New Roman" w:eastAsia="Times New Roman" w:hAnsi="Times New Roman" w:cs="Times New Roman"/>
                <w:sz w:val="20"/>
                <w:szCs w:val="20"/>
                <w:lang w:val="en-US"/>
              </w:rPr>
              <w:object w:dxaOrig="1230" w:dyaOrig="1576">
                <v:shape id="_x0000_i0" o:spid="_x0000_i1025" type="#_x0000_t75" style="width:61.5pt;height:78.75pt;mso-wrap-distance-left:0;mso-wrap-distance-top:0;mso-wrap-distance-right:0;mso-wrap-distance-bottom:0" o:ole="">
                  <v:imagedata r:id="rId8" o:title=""/>
                  <v:path textboxrect="0,0,0,0"/>
                </v:shape>
                <o:OLEObject Type="Embed" ProgID="Word.Picture.8" ShapeID="_x0000_i0" DrawAspect="Content" ObjectID="_1767695361" r:id="rId9"/>
              </w:object>
            </w:r>
          </w:p>
        </w:tc>
        <w:tc>
          <w:tcPr>
            <w:tcW w:w="3969" w:type="dxa"/>
          </w:tcPr>
          <w:p w:rsidR="00163A22" w:rsidRDefault="00163A22">
            <w:pPr>
              <w:widowControl/>
              <w:ind w:firstLine="0"/>
              <w:jc w:val="center"/>
              <w:rPr>
                <w:rFonts w:ascii="Arial Cyr Chuv" w:eastAsia="Times New Roman" w:hAnsi="Arial Cyr Chuv" w:cs="Times New Roman"/>
                <w:sz w:val="26"/>
                <w:szCs w:val="20"/>
              </w:rPr>
            </w:pPr>
          </w:p>
          <w:p w:rsidR="00163A22" w:rsidRDefault="00A25058">
            <w:pPr>
              <w:widowControl/>
              <w:spacing w:line="260" w:lineRule="exact"/>
              <w:ind w:firstLine="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Администрация</w:t>
            </w:r>
          </w:p>
          <w:p w:rsidR="00163A22" w:rsidRDefault="00A25058">
            <w:pPr>
              <w:widowControl/>
              <w:spacing w:line="260" w:lineRule="exact"/>
              <w:ind w:firstLine="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города Новочебоксарска</w:t>
            </w:r>
          </w:p>
          <w:p w:rsidR="00163A22" w:rsidRDefault="00A25058">
            <w:pPr>
              <w:widowControl/>
              <w:spacing w:line="260" w:lineRule="exact"/>
              <w:ind w:firstLine="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Чувашской Республики</w:t>
            </w:r>
          </w:p>
          <w:p w:rsidR="00163A22" w:rsidRDefault="00163A22">
            <w:pPr>
              <w:widowControl/>
              <w:ind w:firstLine="0"/>
              <w:jc w:val="center"/>
              <w:rPr>
                <w:rFonts w:ascii="Times New Roman" w:eastAsia="Times New Roman" w:hAnsi="Times New Roman" w:cs="Times New Roman"/>
                <w:szCs w:val="20"/>
              </w:rPr>
            </w:pPr>
          </w:p>
          <w:p w:rsidR="00163A22" w:rsidRDefault="00A25058">
            <w:pPr>
              <w:widowControl/>
              <w:ind w:firstLine="0"/>
              <w:jc w:val="center"/>
              <w:rPr>
                <w:rFonts w:ascii="Times New Roman" w:eastAsia="Times New Roman" w:hAnsi="Times New Roman" w:cs="Times New Roman"/>
                <w:sz w:val="25"/>
                <w:szCs w:val="20"/>
              </w:rPr>
            </w:pPr>
            <w:r>
              <w:rPr>
                <w:rFonts w:ascii="Times New Roman" w:eastAsia="Times New Roman" w:hAnsi="Times New Roman" w:cs="Times New Roman"/>
                <w:sz w:val="25"/>
                <w:szCs w:val="20"/>
              </w:rPr>
              <w:t>ПОСТАНОВЛЕНИЕ</w:t>
            </w:r>
          </w:p>
          <w:p w:rsidR="00163A22" w:rsidRDefault="00163A22">
            <w:pPr>
              <w:widowControl/>
              <w:ind w:firstLine="0"/>
              <w:jc w:val="center"/>
              <w:rPr>
                <w:rFonts w:ascii="Times New Roman" w:eastAsia="Times New Roman" w:hAnsi="Times New Roman" w:cs="Times New Roman"/>
                <w:sz w:val="26"/>
                <w:szCs w:val="20"/>
              </w:rPr>
            </w:pPr>
          </w:p>
        </w:tc>
      </w:tr>
    </w:tbl>
    <w:p w:rsidR="00163A22" w:rsidRDefault="00A25058">
      <w:pPr>
        <w:tabs>
          <w:tab w:val="left" w:pos="2343"/>
        </w:tabs>
      </w:pPr>
      <w:r>
        <w:t xml:space="preserve">                        </w:t>
      </w:r>
      <w:r w:rsidR="001D55D7">
        <w:t xml:space="preserve">                                19.01.2024</w:t>
      </w:r>
      <w:r>
        <w:t xml:space="preserve"> № </w:t>
      </w:r>
      <w:r w:rsidR="001D55D7">
        <w:t>39</w:t>
      </w:r>
    </w:p>
    <w:p w:rsidR="00163A22" w:rsidRDefault="00163A22">
      <w:pPr>
        <w:pStyle w:val="1"/>
      </w:pPr>
    </w:p>
    <w:p w:rsidR="00163A22" w:rsidRDefault="00A25058">
      <w:pPr>
        <w:ind w:right="5288" w:firstLine="0"/>
        <w:rPr>
          <w:rFonts w:ascii="Times New Roman" w:hAnsi="Times New Roman" w:cs="Times New Roman"/>
          <w:b/>
          <w:color w:val="000000"/>
          <w:shd w:val="clear" w:color="auto" w:fill="FFFFFF"/>
        </w:rPr>
      </w:pPr>
      <w:r>
        <w:rPr>
          <w:rFonts w:ascii="Times New Roman" w:hAnsi="Times New Roman" w:cs="Times New Roman"/>
          <w:b/>
          <w:color w:val="000000" w:themeColor="text1"/>
          <w:shd w:val="clear" w:color="auto" w:fill="FFFFFF"/>
        </w:rPr>
        <w:t>Об утверждении методики мониторинга эффективности деятельности муниципальных унитарных предприятий и хозяйственных обществ с долей участия администрации города Новочебоксарска Чувашской Республики более 50 процентов</w:t>
      </w:r>
      <w:r w:rsidR="007B1D0F">
        <w:rPr>
          <w:rFonts w:ascii="Times New Roman" w:hAnsi="Times New Roman" w:cs="Times New Roman"/>
          <w:b/>
          <w:color w:val="000000" w:themeColor="text1"/>
          <w:shd w:val="clear" w:color="auto" w:fill="FFFFFF"/>
        </w:rPr>
        <w:t xml:space="preserve"> </w:t>
      </w:r>
      <w:r w:rsidR="007B1D0F" w:rsidRPr="007B1D0F">
        <w:rPr>
          <w:rFonts w:ascii="Times New Roman" w:hAnsi="Times New Roman" w:cs="Times New Roman"/>
          <w:b/>
          <w:color w:val="000000" w:themeColor="text1"/>
          <w:shd w:val="clear" w:color="auto" w:fill="FFFFFF"/>
        </w:rPr>
        <w:t>и признании утратившими силу некоторых нормативных правовых актов</w:t>
      </w:r>
    </w:p>
    <w:p w:rsidR="00163A22" w:rsidRDefault="00163A22">
      <w:pPr>
        <w:tabs>
          <w:tab w:val="left" w:pos="4678"/>
        </w:tabs>
        <w:ind w:right="43" w:firstLine="708"/>
        <w:jc w:val="left"/>
        <w:rPr>
          <w:rFonts w:ascii="Times New Roman" w:hAnsi="Times New Roman" w:cs="Times New Roman"/>
          <w:color w:val="000000"/>
          <w:shd w:val="clear" w:color="auto" w:fill="FFFFFF"/>
        </w:rPr>
      </w:pPr>
    </w:p>
    <w:p w:rsidR="00163A22" w:rsidRDefault="00A25058">
      <w:pPr>
        <w:ind w:right="43" w:firstLine="708"/>
        <w:rPr>
          <w:rFonts w:ascii="Times New Roman" w:hAnsi="Times New Roman" w:cs="Times New Roman"/>
          <w:color w:val="000000"/>
          <w:shd w:val="clear" w:color="auto" w:fill="FFFFFF"/>
        </w:rPr>
      </w:pPr>
      <w:r>
        <w:rPr>
          <w:rFonts w:ascii="Times New Roman" w:hAnsi="Times New Roman" w:cs="Times New Roman"/>
          <w:color w:val="000000" w:themeColor="text1"/>
          <w:shd w:val="clear" w:color="auto" w:fill="FFFFFF"/>
        </w:rPr>
        <w:t xml:space="preserve">Руководствуясь статьей 22 Устава города Новочебоксарска Чувашской Республики и в целях реализации Указа Президента Чувашской Республики от 26.01.2009 №4 «Об оценке эффективности деятельности органов местного самоуправления городских округов и муниципальных районов», администрация города Новочебоксарска Чувашской Республики п о с </w:t>
      </w:r>
      <w:proofErr w:type="gramStart"/>
      <w:r>
        <w:rPr>
          <w:rFonts w:ascii="Times New Roman" w:hAnsi="Times New Roman" w:cs="Times New Roman"/>
          <w:color w:val="000000" w:themeColor="text1"/>
          <w:shd w:val="clear" w:color="auto" w:fill="FFFFFF"/>
        </w:rPr>
        <w:t>т</w:t>
      </w:r>
      <w:proofErr w:type="gramEnd"/>
      <w:r>
        <w:rPr>
          <w:rFonts w:ascii="Times New Roman" w:hAnsi="Times New Roman" w:cs="Times New Roman"/>
          <w:color w:val="000000" w:themeColor="text1"/>
          <w:shd w:val="clear" w:color="auto" w:fill="FFFFFF"/>
        </w:rPr>
        <w:t xml:space="preserve"> а н о в л я е т:</w:t>
      </w:r>
    </w:p>
    <w:p w:rsidR="00163A22" w:rsidRDefault="00A25058">
      <w:pPr>
        <w:ind w:right="43" w:firstLine="709"/>
        <w:rPr>
          <w:rFonts w:ascii="Times New Roman" w:hAnsi="Times New Roman" w:cs="Times New Roman"/>
          <w:color w:val="000000"/>
          <w:shd w:val="clear" w:color="auto" w:fill="FFFFFF"/>
        </w:rPr>
      </w:pPr>
      <w:r>
        <w:rPr>
          <w:rFonts w:ascii="Times New Roman" w:hAnsi="Times New Roman" w:cs="Times New Roman"/>
          <w:color w:val="000000" w:themeColor="text1"/>
          <w:shd w:val="clear" w:color="auto" w:fill="FFFFFF"/>
        </w:rPr>
        <w:t>1. Утвердить прилагаемую методику мониторинга эффективности деятельности муниципальных унитарных предприятий и хозяйственных обществ с долей участия администрации города Новочебоксарска Чувашской Республики более 50 процентов</w:t>
      </w:r>
      <w:r w:rsidR="007B1D0F">
        <w:rPr>
          <w:rFonts w:ascii="Times New Roman" w:hAnsi="Times New Roman" w:cs="Times New Roman"/>
          <w:color w:val="000000" w:themeColor="text1"/>
          <w:shd w:val="clear" w:color="auto" w:fill="FFFFFF"/>
        </w:rPr>
        <w:t xml:space="preserve"> согласно Приложению</w:t>
      </w:r>
      <w:r>
        <w:rPr>
          <w:rFonts w:ascii="Times New Roman" w:hAnsi="Times New Roman" w:cs="Times New Roman"/>
          <w:color w:val="000000" w:themeColor="text1"/>
          <w:shd w:val="clear" w:color="auto" w:fill="FFFFFF"/>
        </w:rPr>
        <w:t>.</w:t>
      </w:r>
    </w:p>
    <w:p w:rsidR="00163A22" w:rsidRDefault="00A25058">
      <w:pPr>
        <w:ind w:right="43" w:firstLine="709"/>
        <w:rPr>
          <w:rFonts w:ascii="Times New Roman" w:hAnsi="Times New Roman" w:cs="Times New Roman"/>
        </w:rPr>
      </w:pPr>
      <w:r>
        <w:rPr>
          <w:rFonts w:ascii="Times New Roman" w:hAnsi="Times New Roman" w:cs="Times New Roman"/>
        </w:rPr>
        <w:t>2. Признать утратившими силу:</w:t>
      </w:r>
    </w:p>
    <w:p w:rsidR="00163A22" w:rsidRDefault="00A25058">
      <w:pPr>
        <w:ind w:right="43" w:firstLine="709"/>
        <w:rPr>
          <w:rFonts w:ascii="Times New Roman" w:hAnsi="Times New Roman" w:cs="Times New Roman"/>
        </w:rPr>
      </w:pPr>
      <w:r>
        <w:rPr>
          <w:rFonts w:ascii="Times New Roman" w:hAnsi="Times New Roman" w:cs="Times New Roman"/>
        </w:rPr>
        <w:t>постановление Главы администрации города Новочебоксарска от 24.03.2009 №105 «Об утверждении методики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 акции которых находятся в муниципальной собственности»;</w:t>
      </w:r>
    </w:p>
    <w:p w:rsidR="00163A22" w:rsidRDefault="00A25058">
      <w:pPr>
        <w:ind w:right="43" w:firstLine="709"/>
        <w:rPr>
          <w:rFonts w:ascii="Times New Roman" w:hAnsi="Times New Roman" w:cs="Times New Roman"/>
        </w:rPr>
      </w:pPr>
      <w:r>
        <w:rPr>
          <w:rFonts w:ascii="Times New Roman" w:hAnsi="Times New Roman" w:cs="Times New Roman"/>
        </w:rPr>
        <w:t>постановление Администрации города Новочебоксарска Чувашской Республики от 24.01.2013 №35 «О внесении изменений в постановление главы администрации города Новочебоксарска Чувашской Республики от 24.03.2009 №105 «Об утверждении методики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 акции которых находятся в муниципальной собственности»;</w:t>
      </w:r>
    </w:p>
    <w:p w:rsidR="00163A22" w:rsidRDefault="00A25058">
      <w:pPr>
        <w:ind w:right="43" w:firstLine="709"/>
        <w:rPr>
          <w:rFonts w:ascii="Times New Roman" w:hAnsi="Times New Roman" w:cs="Times New Roman"/>
        </w:rPr>
      </w:pPr>
      <w:r>
        <w:rPr>
          <w:rFonts w:ascii="Times New Roman" w:hAnsi="Times New Roman" w:cs="Times New Roman"/>
        </w:rPr>
        <w:t>постановление Администрации города Новочебоксарска Чувашской Республики от 26.08.2014 №364 «О внесении изменений в постановление главы администрации города Новочебоксарска Чувашской Республики от 24.03.2009 №105 «Об утверждении методики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 акции которых находятся в муниципальной собственности»;</w:t>
      </w:r>
    </w:p>
    <w:p w:rsidR="00163A22" w:rsidRDefault="00A25058">
      <w:pPr>
        <w:ind w:right="43" w:firstLine="709"/>
        <w:rPr>
          <w:rFonts w:ascii="Times New Roman" w:hAnsi="Times New Roman" w:cs="Times New Roman"/>
        </w:rPr>
      </w:pPr>
      <w:r>
        <w:rPr>
          <w:rFonts w:ascii="Times New Roman" w:hAnsi="Times New Roman" w:cs="Times New Roman"/>
        </w:rPr>
        <w:t xml:space="preserve">постановление Администрации города Новочебоксарска Чувашской Республики от 6.07. 2015 №370 «О внесении изменений в постановление главы администрации города </w:t>
      </w:r>
      <w:r>
        <w:rPr>
          <w:rFonts w:ascii="Times New Roman" w:hAnsi="Times New Roman" w:cs="Times New Roman"/>
        </w:rPr>
        <w:lastRenderedPageBreak/>
        <w:t>Новочебоксарска Чувашской Республики от 24.03.2009 №105 «Об утверждении методики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 акции которых находятся в муниципальной собственности».</w:t>
      </w:r>
    </w:p>
    <w:p w:rsidR="00163A22" w:rsidRDefault="00A25058">
      <w:pPr>
        <w:ind w:right="43" w:firstLine="709"/>
        <w:rPr>
          <w:rFonts w:ascii="Times New Roman" w:hAnsi="Times New Roman" w:cs="Times New Roman"/>
        </w:rPr>
      </w:pPr>
      <w:r>
        <w:rPr>
          <w:rFonts w:ascii="Times New Roman" w:hAnsi="Times New Roman" w:cs="Times New Roman"/>
        </w:rPr>
        <w:t xml:space="preserve">3. Сектору пресс-службы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информационно-телекоммуникационной сети «Интернет». </w:t>
      </w:r>
    </w:p>
    <w:p w:rsidR="00163A22" w:rsidRDefault="00A25058">
      <w:pPr>
        <w:ind w:right="43"/>
        <w:rPr>
          <w:rFonts w:ascii="Times New Roman" w:hAnsi="Times New Roman" w:cs="Times New Roman"/>
          <w:color w:val="000000"/>
        </w:rPr>
      </w:pPr>
      <w:r>
        <w:rPr>
          <w:rFonts w:ascii="Times New Roman" w:hAnsi="Times New Roman" w:cs="Times New Roman"/>
          <w:color w:val="000000" w:themeColor="text1"/>
        </w:rPr>
        <w:t>4. Контроль за выполнением настоящего постановления возложить на заместителя главы администрации по экономике и финансам.</w:t>
      </w:r>
    </w:p>
    <w:p w:rsidR="00163A22" w:rsidRDefault="00A25058">
      <w:pPr>
        <w:ind w:right="43"/>
        <w:rPr>
          <w:rStyle w:val="FontStyle15"/>
          <w:color w:val="FF0000"/>
        </w:rPr>
      </w:pPr>
      <w:r>
        <w:rPr>
          <w:rFonts w:ascii="Times New Roman" w:hAnsi="Times New Roman" w:cs="Times New Roman"/>
          <w:color w:val="000000" w:themeColor="text1"/>
        </w:rPr>
        <w:t>5. Настоящее постановление вступает в силу после его официального опубликования (обнародования).</w:t>
      </w:r>
    </w:p>
    <w:p w:rsidR="00163A22" w:rsidRDefault="00163A22">
      <w:pPr>
        <w:ind w:right="43"/>
        <w:rPr>
          <w:rStyle w:val="FontStyle15"/>
          <w:color w:val="FF0000"/>
        </w:rPr>
      </w:pPr>
    </w:p>
    <w:p w:rsidR="00163A22" w:rsidRDefault="00163A22">
      <w:pPr>
        <w:ind w:right="43"/>
        <w:rPr>
          <w:rStyle w:val="FontStyle15"/>
          <w:color w:val="FF0000"/>
        </w:rPr>
      </w:pPr>
    </w:p>
    <w:p w:rsidR="00163A22" w:rsidRDefault="00A25058">
      <w:pPr>
        <w:ind w:right="43" w:firstLine="0"/>
        <w:rPr>
          <w:rFonts w:ascii="Times New Roman" w:hAnsi="Times New Roman" w:cs="Times New Roman"/>
          <w:bCs/>
        </w:rPr>
      </w:pPr>
      <w:r>
        <w:rPr>
          <w:rFonts w:ascii="Times New Roman" w:hAnsi="Times New Roman" w:cs="Times New Roman"/>
          <w:bCs/>
        </w:rPr>
        <w:t xml:space="preserve">Временно исполняющий </w:t>
      </w:r>
    </w:p>
    <w:p w:rsidR="00163A22" w:rsidRDefault="00A25058">
      <w:pPr>
        <w:ind w:right="43" w:firstLine="0"/>
        <w:rPr>
          <w:rFonts w:ascii="Times New Roman" w:hAnsi="Times New Roman" w:cs="Times New Roman"/>
          <w:bCs/>
        </w:rPr>
      </w:pPr>
      <w:r>
        <w:rPr>
          <w:rFonts w:ascii="Times New Roman" w:hAnsi="Times New Roman" w:cs="Times New Roman"/>
          <w:bCs/>
        </w:rPr>
        <w:t xml:space="preserve">полномочия главы </w:t>
      </w:r>
    </w:p>
    <w:p w:rsidR="00163A22" w:rsidRDefault="00A25058">
      <w:pPr>
        <w:ind w:right="43" w:firstLine="0"/>
        <w:rPr>
          <w:rFonts w:ascii="Times New Roman" w:hAnsi="Times New Roman" w:cs="Times New Roman"/>
          <w:bCs/>
        </w:rPr>
      </w:pPr>
      <w:r>
        <w:rPr>
          <w:rFonts w:ascii="Times New Roman" w:hAnsi="Times New Roman" w:cs="Times New Roman"/>
          <w:bCs/>
        </w:rPr>
        <w:t>города Новочебоксарска</w:t>
      </w:r>
    </w:p>
    <w:p w:rsidR="00163A22" w:rsidRDefault="00A25058">
      <w:pPr>
        <w:tabs>
          <w:tab w:val="left" w:pos="2343"/>
        </w:tabs>
        <w:ind w:right="43" w:firstLine="0"/>
        <w:rPr>
          <w:rFonts w:ascii="Times New Roman" w:hAnsi="Times New Roman" w:cs="Times New Roman"/>
        </w:rPr>
      </w:pPr>
      <w:r>
        <w:rPr>
          <w:rFonts w:ascii="Times New Roman" w:hAnsi="Times New Roman" w:cs="Times New Roman"/>
          <w:bCs/>
        </w:rPr>
        <w:t>Чувашской Республики</w:t>
      </w:r>
      <w:r>
        <w:rPr>
          <w:rFonts w:ascii="Times New Roman" w:hAnsi="Times New Roman" w:cs="Times New Roman"/>
        </w:rPr>
        <w:t xml:space="preserve">                                                                                          М.Л. Семенов</w:t>
      </w:r>
    </w:p>
    <w:p w:rsidR="00163A22" w:rsidRDefault="00163A22">
      <w:pPr>
        <w:tabs>
          <w:tab w:val="left" w:pos="2343"/>
        </w:tabs>
        <w:rPr>
          <w:rFonts w:ascii="Times New Roman" w:hAnsi="Times New Roman" w:cs="Times New Roman"/>
        </w:rPr>
      </w:pPr>
    </w:p>
    <w:p w:rsidR="00163A22" w:rsidRDefault="00163A22">
      <w:pPr>
        <w:ind w:firstLine="708"/>
        <w:rPr>
          <w:sz w:val="25"/>
          <w:szCs w:val="25"/>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163A22" w:rsidRDefault="00163A22">
      <w:pPr>
        <w:ind w:firstLine="708"/>
        <w:rPr>
          <w:color w:val="000000"/>
          <w:sz w:val="25"/>
          <w:szCs w:val="25"/>
          <w:shd w:val="clear" w:color="auto" w:fill="FFFFFF"/>
        </w:rPr>
      </w:pPr>
    </w:p>
    <w:p w:rsidR="007B1D0F" w:rsidRDefault="007B1D0F">
      <w:pPr>
        <w:ind w:left="5954" w:firstLine="0"/>
      </w:pPr>
      <w:bookmarkStart w:id="0" w:name="sub_1000"/>
      <w:bookmarkStart w:id="1" w:name="_GoBack"/>
      <w:bookmarkEnd w:id="1"/>
      <w:r>
        <w:lastRenderedPageBreak/>
        <w:t>Приложение к</w:t>
      </w:r>
    </w:p>
    <w:p w:rsidR="00163A22" w:rsidRDefault="002969A8">
      <w:pPr>
        <w:ind w:left="5954" w:firstLine="0"/>
        <w:rPr>
          <w:rStyle w:val="af5"/>
          <w:b w:val="0"/>
          <w:color w:val="000000"/>
        </w:rPr>
      </w:pPr>
      <w:hyperlink w:anchor="sub_0" w:tooltip="#sub_0" w:history="1">
        <w:r w:rsidR="00A25058">
          <w:rPr>
            <w:rStyle w:val="af6"/>
            <w:b w:val="0"/>
            <w:color w:val="000000" w:themeColor="text1"/>
          </w:rPr>
          <w:t>постановлени</w:t>
        </w:r>
      </w:hyperlink>
      <w:r w:rsidR="007B1D0F">
        <w:rPr>
          <w:rStyle w:val="af6"/>
          <w:b w:val="0"/>
          <w:color w:val="000000" w:themeColor="text1"/>
        </w:rPr>
        <w:t>ю</w:t>
      </w:r>
      <w:r w:rsidR="00A25058">
        <w:rPr>
          <w:rStyle w:val="af5"/>
          <w:b w:val="0"/>
          <w:color w:val="000000" w:themeColor="text1"/>
        </w:rPr>
        <w:t xml:space="preserve"> администрации города Новочебоксарска Чувашской Республики</w:t>
      </w:r>
    </w:p>
    <w:bookmarkEnd w:id="0"/>
    <w:p w:rsidR="00163A22" w:rsidRDefault="001D55D7">
      <w:pPr>
        <w:ind w:left="5954" w:firstLine="0"/>
        <w:rPr>
          <w:color w:val="000000"/>
        </w:rPr>
      </w:pPr>
      <w:r>
        <w:rPr>
          <w:color w:val="000000"/>
        </w:rPr>
        <w:t>от 19.01.2024 № 39</w:t>
      </w:r>
    </w:p>
    <w:p w:rsidR="00163A22" w:rsidRDefault="00163A22">
      <w:pPr>
        <w:jc w:val="center"/>
        <w:rPr>
          <w:b/>
          <w:color w:val="000000"/>
        </w:rPr>
      </w:pPr>
    </w:p>
    <w:p w:rsidR="00163A22" w:rsidRDefault="00A25058">
      <w:pPr>
        <w:jc w:val="center"/>
        <w:rPr>
          <w:b/>
          <w:color w:val="000000"/>
        </w:rPr>
      </w:pPr>
      <w:r>
        <w:rPr>
          <w:b/>
          <w:color w:val="000000" w:themeColor="text1"/>
        </w:rPr>
        <w:t>Методика</w:t>
      </w:r>
    </w:p>
    <w:p w:rsidR="00163A22" w:rsidRDefault="00A25058">
      <w:pPr>
        <w:jc w:val="center"/>
        <w:rPr>
          <w:b/>
          <w:color w:val="000000"/>
        </w:rPr>
      </w:pPr>
      <w:r>
        <w:rPr>
          <w:b/>
          <w:color w:val="000000" w:themeColor="text1"/>
        </w:rPr>
        <w:t xml:space="preserve">мониторинга эффективности деятельности муниципальных унитарных предприятий и </w:t>
      </w:r>
      <w:bookmarkStart w:id="2" w:name="sub_1001"/>
      <w:r>
        <w:rPr>
          <w:b/>
          <w:color w:val="000000" w:themeColor="text1"/>
        </w:rPr>
        <w:t>хозяйственных обществ с долей участия администрации города Новочебоксарска Чувашской Республики более 50 процентов</w:t>
      </w:r>
    </w:p>
    <w:p w:rsidR="00163A22" w:rsidRDefault="00163A22">
      <w:pPr>
        <w:jc w:val="center"/>
        <w:rPr>
          <w:color w:val="000000"/>
        </w:rPr>
      </w:pPr>
    </w:p>
    <w:p w:rsidR="00163A22" w:rsidRDefault="00A25058">
      <w:bookmarkStart w:id="3" w:name="sub_11"/>
      <w:bookmarkEnd w:id="2"/>
      <w:r>
        <w:t>Целью настоящей методики является определение единых методических подходов к организации мониторинга эффективности деятельности муниципальных унитарных предприятий и хозяйственных обществ с долей участия администрации города Новочебоксарска Чувашской Республики более 50 процентов, акции которых находятся в муниципальной собственности, (далее муниципальные предприятия и общества) для оценки эффективности деятельности, динамики изменения показателей, характеризующих качество работы, уровня социального обеспечения работников, степени внедрения методов и принципов управления, обеспечивающих переход к более результативным моделям управления.</w:t>
      </w:r>
    </w:p>
    <w:p w:rsidR="00163A22" w:rsidRDefault="00A25058">
      <w:r>
        <w:t>Местное самоуправление позволяет оптимизировать использование территориальных ресурсов, решать проблемы в наиболее эффективных формах, с учетом конкретных условий. Поэтому реально действующее местное самоуправление должно быть сконцентрировано на решении существующих проблем, повышении эффективности управления и создании условий для устойчивого самостоятельного развития муниципального образования.</w:t>
      </w:r>
    </w:p>
    <w:p w:rsidR="00163A22" w:rsidRDefault="00A25058">
      <w:r>
        <w:t>Эффективное планирование, анализ и контроль за использованием средств - важнейшие факторы успешной деятельности муниципальных предприятий и обществ.</w:t>
      </w:r>
    </w:p>
    <w:p w:rsidR="00163A22" w:rsidRDefault="00A25058">
      <w:r>
        <w:t xml:space="preserve">Представление руководителями муниципальных предприятий и обществ </w:t>
      </w:r>
      <w:r w:rsidR="00DE4F4E">
        <w:t xml:space="preserve">показателей финансово-экономической и хозяйственной деятельности </w:t>
      </w:r>
      <w:r>
        <w:t>и иных результатов деятельности закрепляет единую систему представлений о целях, приоритетных направлениях, задачах и принципах политики администрации города Новочебоксарска по развитию города и эффективному использованию средств.</w:t>
      </w:r>
    </w:p>
    <w:p w:rsidR="00163A22" w:rsidRDefault="00A25058">
      <w:r>
        <w:t>Целью является повышение эффективности финансово-экономической деятельности муниципальных предприятий и обществ.</w:t>
      </w:r>
    </w:p>
    <w:p w:rsidR="00163A22" w:rsidRDefault="00A25058">
      <w:r>
        <w:t>Достижение указанной цели должно осуществляться по следующим трем основным направлениям:</w:t>
      </w:r>
    </w:p>
    <w:p w:rsidR="00163A22" w:rsidRDefault="00A25058">
      <w:r>
        <w:t>планирование финансово-экономической деятельности;</w:t>
      </w:r>
    </w:p>
    <w:p w:rsidR="00163A22" w:rsidRDefault="00A25058">
      <w:r>
        <w:t xml:space="preserve">планирование </w:t>
      </w:r>
      <w:r w:rsidR="00F505FE" w:rsidRPr="00F505FE">
        <w:t>программ деятельности предприятий, значений показателей экономической эффективности деятельности обществ, показателей деятельности предприятий, включающих показатели экономической эффективности деятельности и дополнительные показатели деятельности предприятий (далее - показатели деятельности предприятия), ключевых показателей эффективности деятельности обществ, включающих финансово-экономические и отраслевые ключевые показатели эффективности (далее - ключевые показатели эффективности деятельности обществ)</w:t>
      </w:r>
      <w:r>
        <w:t>;</w:t>
      </w:r>
    </w:p>
    <w:p w:rsidR="00163A22" w:rsidRDefault="00A25058">
      <w:r>
        <w:t>оптимизация затрат;</w:t>
      </w:r>
    </w:p>
    <w:p w:rsidR="00163A22" w:rsidRDefault="00A25058">
      <w:r>
        <w:t>контроль и оценка эффективности работы муниципальных предприятий и обществ.</w:t>
      </w:r>
    </w:p>
    <w:p w:rsidR="00163A22" w:rsidRDefault="00A25058">
      <w:r>
        <w:t>В рамках каждого из вышеуказанных направлений предстоит решать следующие задачи:</w:t>
      </w:r>
    </w:p>
    <w:p w:rsidR="00163A22" w:rsidRDefault="00A25058">
      <w:r>
        <w:t>формирование муниципальными предприятиями и обществами и утверждение главой города Новочебоксарска Чувашской Республики</w:t>
      </w:r>
      <w:r w:rsidR="00ED7981">
        <w:t xml:space="preserve"> программ деятельности </w:t>
      </w:r>
      <w:r w:rsidR="00ED7981">
        <w:lastRenderedPageBreak/>
        <w:t>предприятий</w:t>
      </w:r>
      <w:r w:rsidR="00F505FE">
        <w:t xml:space="preserve">, </w:t>
      </w:r>
      <w:r w:rsidR="00F505FE" w:rsidRPr="00F505FE">
        <w:t>значений показателей экономической эффективности деятельности обществ</w:t>
      </w:r>
      <w:r w:rsidR="00F505FE">
        <w:t>,</w:t>
      </w:r>
      <w:r w:rsidR="00ED7981">
        <w:t xml:space="preserve"> значени</w:t>
      </w:r>
      <w:r w:rsidR="00AC06D7">
        <w:t>й</w:t>
      </w:r>
      <w:r w:rsidR="00ED7981">
        <w:t xml:space="preserve"> </w:t>
      </w:r>
      <w:r>
        <w:t>показателей деятельности предприятий</w:t>
      </w:r>
      <w:r w:rsidR="00F505FE">
        <w:t xml:space="preserve"> </w:t>
      </w:r>
      <w:r>
        <w:t>и ключевых показателей эффективности деятельности обществ на предстоящий год</w:t>
      </w:r>
      <w:r w:rsidR="00F505FE">
        <w:t xml:space="preserve"> и два последующих года</w:t>
      </w:r>
      <w:r>
        <w:t xml:space="preserve"> до 25 декабря текущего года;</w:t>
      </w:r>
    </w:p>
    <w:p w:rsidR="00163A22" w:rsidRDefault="00A25058">
      <w:r>
        <w:t>анализ затрат текущего периода и разработка мероприятий, направленных на рациональное, эффективное использование материальных ресурсов и планируемых средств на предстоящий период деятельности муниципальных предприятий и обществ, а также подведение итогов выполнения плановых показателей до 30 апреля года, следующего за отчетным годом.</w:t>
      </w:r>
    </w:p>
    <w:p w:rsidR="00163A22" w:rsidRDefault="00A25058">
      <w:r>
        <w:t>Результаты мониторинга эффективности деятельности муниципальных предприятий и обществ позволяют определить направления, требующие приоритетного внимания муниципальных предприятий и обществ, сформировать перечень мероприятий по повышению результативности деятельности муниципальных предприятий и обществ, в том числе по снижению неэффективных расходов, а также выявить внутренние ресурсы (финансовые, материально-технические, кадровые и другие) для повышения качества и объема предоставляемых населению услуг и увеличения заработной платы работников муниципальных предприятий и обществ.</w:t>
      </w:r>
    </w:p>
    <w:p w:rsidR="00163A22" w:rsidRDefault="00A25058">
      <w:r>
        <w:t>Мониторинг эффективности деятельности муниципальных предприятий и обществ осуществляется в соответствии с перечнем показателей для оценки эффективности деятельности муниципальных предприятий и обществ, обозначенных в данной методике.</w:t>
      </w:r>
    </w:p>
    <w:p w:rsidR="00F52598" w:rsidRDefault="00A25058">
      <w:r>
        <w:t>В качестве исходных данных для проведения мониторинга эффективности деятельности муниципальных предприятий и обществ используются</w:t>
      </w:r>
      <w:r w:rsidR="00F52598">
        <w:t xml:space="preserve"> официальные данные бухгалтерской отчетности муниципальных предприятий и обществ, представляемые в отдел экономического развития и торговли администрации города Новочебоксарска Чувашской Республики на бумажных и электронных носителях.</w:t>
      </w:r>
      <w:r>
        <w:t xml:space="preserve"> </w:t>
      </w:r>
    </w:p>
    <w:p w:rsidR="00163A22" w:rsidRDefault="00F52598">
      <w:r>
        <w:t>З</w:t>
      </w:r>
      <w:r w:rsidR="005C0F91">
        <w:t>начени</w:t>
      </w:r>
      <w:r>
        <w:t>я</w:t>
      </w:r>
      <w:r w:rsidR="005C0F91">
        <w:t xml:space="preserve"> </w:t>
      </w:r>
      <w:r w:rsidR="00A25058">
        <w:t>показателей деятельности предприятий</w:t>
      </w:r>
      <w:r w:rsidR="00770847" w:rsidRPr="00770847">
        <w:t xml:space="preserve"> </w:t>
      </w:r>
      <w:r w:rsidR="00770847">
        <w:t>и обществ</w:t>
      </w:r>
      <w:r w:rsidR="00A25058">
        <w:t xml:space="preserve"> анализируются</w:t>
      </w:r>
      <w:r w:rsidR="00770847">
        <w:t xml:space="preserve"> в динамике</w:t>
      </w:r>
      <w:r w:rsidR="00A25058">
        <w:t xml:space="preserve"> за 1 квартал</w:t>
      </w:r>
      <w:r w:rsidR="00770847">
        <w:t xml:space="preserve"> отчетного года </w:t>
      </w:r>
      <w:r w:rsidR="00F75E30">
        <w:t>к 1 кварталу</w:t>
      </w:r>
      <w:r w:rsidR="00770847">
        <w:t xml:space="preserve"> предшествующе</w:t>
      </w:r>
      <w:r w:rsidR="00F75E30">
        <w:t>го</w:t>
      </w:r>
      <w:r w:rsidR="00770847">
        <w:t xml:space="preserve"> года</w:t>
      </w:r>
      <w:r w:rsidR="00A25058">
        <w:t xml:space="preserve">, </w:t>
      </w:r>
      <w:r w:rsidR="00770847">
        <w:t xml:space="preserve">за </w:t>
      </w:r>
      <w:r w:rsidR="00A25058">
        <w:t>1 полугодие</w:t>
      </w:r>
      <w:r w:rsidR="00770847">
        <w:t xml:space="preserve"> отчетного года </w:t>
      </w:r>
      <w:r w:rsidR="00F75E30">
        <w:t>к 1 полугодию</w:t>
      </w:r>
      <w:r w:rsidR="00770847">
        <w:t xml:space="preserve"> предшествующе</w:t>
      </w:r>
      <w:r w:rsidR="00F75E30">
        <w:t>го</w:t>
      </w:r>
      <w:r w:rsidR="00770847">
        <w:t xml:space="preserve"> год</w:t>
      </w:r>
      <w:r w:rsidR="00F75E30">
        <w:t>а</w:t>
      </w:r>
      <w:r w:rsidR="00A25058">
        <w:t xml:space="preserve">, </w:t>
      </w:r>
      <w:r w:rsidR="00770847">
        <w:t xml:space="preserve">за </w:t>
      </w:r>
      <w:r w:rsidR="00A25058">
        <w:t xml:space="preserve">9 месяцев </w:t>
      </w:r>
      <w:r w:rsidR="00770847">
        <w:t>отчетного года к 9 месяцем предшествующе</w:t>
      </w:r>
      <w:r w:rsidR="00F75E30">
        <w:t>го</w:t>
      </w:r>
      <w:r w:rsidR="00770847">
        <w:t xml:space="preserve"> год</w:t>
      </w:r>
      <w:r w:rsidR="00F75E30">
        <w:t>а</w:t>
      </w:r>
      <w:r w:rsidR="00770847">
        <w:t xml:space="preserve">, а также за </w:t>
      </w:r>
      <w:r w:rsidR="00A25058">
        <w:t>отчетн</w:t>
      </w:r>
      <w:r w:rsidR="00770847">
        <w:t>ый</w:t>
      </w:r>
      <w:r w:rsidR="00A25058">
        <w:t xml:space="preserve"> год </w:t>
      </w:r>
      <w:r w:rsidR="00770847">
        <w:t>к предшествующему</w:t>
      </w:r>
      <w:r w:rsidR="00A25058">
        <w:t xml:space="preserve"> год</w:t>
      </w:r>
      <w:r w:rsidR="00770847">
        <w:t>у</w:t>
      </w:r>
      <w:r w:rsidR="00A25058">
        <w:t>.</w:t>
      </w:r>
    </w:p>
    <w:p w:rsidR="00163A22" w:rsidRDefault="00A25058">
      <w:r>
        <w:t>Мониторинг эффективности деятельности муниципальных предприятий и обществ создает предпосылки для системного исследования результативности управления муниципальными предприятиями и обществами, принятия решений и мер по дальнейшему совершенствованию управления муниципальными предприятиями и обществами, а также поощрения руководителей муниципальных предприятий и обществ, достигших наилучших значений показателей.</w:t>
      </w:r>
    </w:p>
    <w:p w:rsidR="00163A22" w:rsidRDefault="00A25058">
      <w:pPr>
        <w:rPr>
          <w:color w:val="000000"/>
        </w:rPr>
      </w:pPr>
      <w:r>
        <w:rPr>
          <w:color w:val="000000" w:themeColor="text1"/>
        </w:rPr>
        <w:t>Критерии оценки эффективности деятельности муниципальных предприятий и обществ приведены в </w:t>
      </w:r>
      <w:hyperlink r:id="rId10" w:anchor="/document/17607718/entry/10000" w:tooltip="https://internet.garant.ru/#/document/17607718/entry/10000" w:history="1">
        <w:r w:rsidR="00790A83">
          <w:rPr>
            <w:rStyle w:val="aff3"/>
            <w:color w:val="000000" w:themeColor="text1"/>
            <w:u w:val="none"/>
          </w:rPr>
          <w:t>П</w:t>
        </w:r>
        <w:r>
          <w:rPr>
            <w:rStyle w:val="aff3"/>
            <w:color w:val="000000" w:themeColor="text1"/>
            <w:u w:val="none"/>
          </w:rPr>
          <w:t xml:space="preserve">риложении </w:t>
        </w:r>
      </w:hyperlink>
      <w:r>
        <w:rPr>
          <w:color w:val="000000" w:themeColor="text1"/>
        </w:rPr>
        <w:t>к настоящей методике.</w:t>
      </w:r>
    </w:p>
    <w:p w:rsidR="00163A22" w:rsidRDefault="00A25058">
      <w:pPr>
        <w:rPr>
          <w:color w:val="000000"/>
        </w:rPr>
      </w:pPr>
      <w:r>
        <w:rPr>
          <w:color w:val="000000" w:themeColor="text1"/>
        </w:rPr>
        <w:t xml:space="preserve">В случае, если по </w:t>
      </w:r>
      <w:r w:rsidR="00F75E30">
        <w:rPr>
          <w:color w:val="000000" w:themeColor="text1"/>
        </w:rPr>
        <w:t>итогам анализируемого</w:t>
      </w:r>
      <w:r>
        <w:rPr>
          <w:color w:val="000000" w:themeColor="text1"/>
        </w:rPr>
        <w:t xml:space="preserve"> периода суммарное значение показателей эффективности составит менее 8 баллов, то работа муниципального предприятия или общества признается неэффективной. При этом муниципальной балансовой комиссией при администрации города Новочебоксарска может быть поставлен вопрос перед главой города Новочебоксарска о соответствии руководителя муниципального предприятия занимаемой должности либо членами Совета директоров общества, которые являются представителями муниципалитета, может быть инициирована процедура отстранения от должности директора общества. В случае выявления неэффективной работы муниципального предприятия или общества руководитель данной организации обязан представить на рассмотрение главы города Новочебоксарска Чувашской Республики аргументированное объяснение причин неэффективной деятельности муниципального предприятия или общества.</w:t>
      </w:r>
    </w:p>
    <w:p w:rsidR="00163A22" w:rsidRDefault="00A25058">
      <w:pPr>
        <w:rPr>
          <w:color w:val="000000"/>
        </w:rPr>
      </w:pPr>
      <w:r>
        <w:rPr>
          <w:color w:val="000000" w:themeColor="text1"/>
        </w:rPr>
        <w:t xml:space="preserve">В случае, если по итогам анализируемого периода суммарное значение показателей эффективности по правилу составит от 35 до 45 баллов, то работа муниципального </w:t>
      </w:r>
      <w:r>
        <w:rPr>
          <w:color w:val="000000" w:themeColor="text1"/>
        </w:rPr>
        <w:lastRenderedPageBreak/>
        <w:t>предприятия или общества признается эффективной, от 26 до 34 баллов - достаточно эффективная деятельность, от 15 до 25 баллов - малоэффективная деятельность, менее 14 баллов - неэффективная деятельность.</w:t>
      </w:r>
    </w:p>
    <w:p w:rsidR="00163A22" w:rsidRDefault="00A25058">
      <w:pPr>
        <w:rPr>
          <w:color w:val="000000"/>
        </w:rPr>
      </w:pPr>
      <w:r>
        <w:rPr>
          <w:color w:val="000000" w:themeColor="text1"/>
        </w:rPr>
        <w:t>Муниципальной балансовой комиссией при администрации города Новочебоксарска Чувашской Республики при малоэффективной или неэффективной деятельности муниципального предприятия или общества может быть поставлен вопрос перед главой города Новочебоксарска о соответствии руководителя муниципального предприятия занимаемой должности либо членами Совета директоров общества, которые являются представителями муниципалитета, может быть инициирована процедура отстранения от должности директора общества. В случае выявления малоэффективной или неэффективной работы муниципального предприятия или общества руководитель данной организации обязан представить на рассмотрение главы города Новочебоксарска Чувашской Республики аргументированное объяснение причин малоэффективной или неэффективной деятельности муниципального предприятия или общества.</w:t>
      </w:r>
    </w:p>
    <w:p w:rsidR="00163A22" w:rsidRDefault="00A25058">
      <w:pPr>
        <w:rPr>
          <w:color w:val="000000"/>
          <w:shd w:val="clear" w:color="auto" w:fill="FFFFFF"/>
        </w:rPr>
      </w:pPr>
      <w:r>
        <w:rPr>
          <w:color w:val="000000" w:themeColor="text1"/>
          <w:shd w:val="clear" w:color="auto" w:fill="FFFFFF"/>
        </w:rPr>
        <w:t>При эффективной и достаточно эффективной деятельности муниципального предприятия или общества муниципальная балансовая комиссия при администрации города Новочебоксарска Чувашской Республики может ходатайствовать перед главой города Новочебоксарска о премировании руководителя указанного муниципального предприятия при достижении всех остальных необходимых условий для премирования руководителя в соответствии действующими нормативно-правовыми актами.</w:t>
      </w: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F75E30" w:rsidRDefault="00F75E30">
      <w:pPr>
        <w:rPr>
          <w:color w:val="000000"/>
          <w:shd w:val="clear" w:color="auto" w:fill="FFFFFF"/>
        </w:rPr>
      </w:pPr>
    </w:p>
    <w:p w:rsidR="00F75E30" w:rsidRDefault="00F75E30">
      <w:pPr>
        <w:rPr>
          <w:color w:val="000000"/>
          <w:shd w:val="clear" w:color="auto" w:fill="FFFFFF"/>
        </w:rPr>
      </w:pPr>
    </w:p>
    <w:p w:rsidR="00F75E30" w:rsidRDefault="00F75E30">
      <w:pPr>
        <w:rPr>
          <w:color w:val="000000"/>
          <w:shd w:val="clear" w:color="auto" w:fill="FFFFFF"/>
        </w:rPr>
      </w:pPr>
    </w:p>
    <w:p w:rsidR="00F75E30" w:rsidRDefault="00F75E30">
      <w:pPr>
        <w:rPr>
          <w:color w:val="000000"/>
          <w:shd w:val="clear" w:color="auto" w:fill="FFFFFF"/>
        </w:rPr>
      </w:pPr>
    </w:p>
    <w:p w:rsidR="00163A22" w:rsidRDefault="00163A22">
      <w:pPr>
        <w:rPr>
          <w:color w:val="000000"/>
          <w:shd w:val="clear" w:color="auto" w:fill="FFFFFF"/>
        </w:rPr>
      </w:pPr>
    </w:p>
    <w:p w:rsidR="00163A22" w:rsidRDefault="00163A22">
      <w:pPr>
        <w:rPr>
          <w:color w:val="000000"/>
          <w:shd w:val="clear" w:color="auto" w:fill="FFFFFF"/>
        </w:rPr>
      </w:pPr>
    </w:p>
    <w:p w:rsidR="00FE5BD4" w:rsidRDefault="00FE5BD4">
      <w:pPr>
        <w:ind w:left="5670" w:firstLine="0"/>
        <w:rPr>
          <w:bCs/>
          <w:color w:val="000000" w:themeColor="text1"/>
          <w:shd w:val="clear" w:color="auto" w:fill="FFFFFF"/>
        </w:rPr>
      </w:pPr>
    </w:p>
    <w:p w:rsidR="00163A22" w:rsidRDefault="00A25058">
      <w:pPr>
        <w:ind w:left="5670" w:firstLine="0"/>
        <w:rPr>
          <w:bCs/>
          <w:color w:val="000000"/>
          <w:shd w:val="clear" w:color="auto" w:fill="FFFFFF"/>
        </w:rPr>
      </w:pPr>
      <w:r>
        <w:rPr>
          <w:bCs/>
          <w:color w:val="000000" w:themeColor="text1"/>
          <w:shd w:val="clear" w:color="auto" w:fill="FFFFFF"/>
        </w:rPr>
        <w:lastRenderedPageBreak/>
        <w:t xml:space="preserve">Приложение </w:t>
      </w:r>
    </w:p>
    <w:p w:rsidR="00163A22" w:rsidRDefault="00A25058">
      <w:pPr>
        <w:ind w:left="5670" w:firstLine="0"/>
        <w:rPr>
          <w:bCs/>
          <w:color w:val="000000"/>
          <w:shd w:val="clear" w:color="auto" w:fill="FFFFFF"/>
        </w:rPr>
      </w:pPr>
      <w:r>
        <w:rPr>
          <w:bCs/>
          <w:color w:val="000000" w:themeColor="text1"/>
          <w:shd w:val="clear" w:color="auto" w:fill="FFFFFF"/>
        </w:rPr>
        <w:t xml:space="preserve">к </w:t>
      </w:r>
      <w:hyperlink w:anchor="sub_1000" w:tooltip="#sub_1000" w:history="1">
        <w:r>
          <w:rPr>
            <w:rStyle w:val="aff3"/>
            <w:bCs/>
            <w:color w:val="000000" w:themeColor="text1"/>
            <w:u w:val="none"/>
            <w:shd w:val="clear" w:color="auto" w:fill="FFFFFF"/>
          </w:rPr>
          <w:t>методике</w:t>
        </w:r>
      </w:hyperlink>
      <w:r>
        <w:rPr>
          <w:bCs/>
          <w:color w:val="000000" w:themeColor="text1"/>
          <w:shd w:val="clear" w:color="auto" w:fill="FFFFFF"/>
        </w:rPr>
        <w:t xml:space="preserve"> мониторинга эффективности деятельности муниципальных унитарных предприятий и хозяйственных обществ с долей участия города Новочебоксарска Чувашской Республики более 50 процентов, утвержденной </w:t>
      </w:r>
      <w:hyperlink w:anchor="sub_0" w:tooltip="#sub_0" w:history="1">
        <w:r>
          <w:rPr>
            <w:rStyle w:val="aff3"/>
            <w:bCs/>
            <w:color w:val="000000" w:themeColor="text1"/>
            <w:u w:val="none"/>
            <w:shd w:val="clear" w:color="auto" w:fill="FFFFFF"/>
          </w:rPr>
          <w:t>постановлением</w:t>
        </w:r>
      </w:hyperlink>
      <w:r>
        <w:rPr>
          <w:bCs/>
          <w:color w:val="000000" w:themeColor="text1"/>
          <w:shd w:val="clear" w:color="auto" w:fill="FFFFFF"/>
        </w:rPr>
        <w:t xml:space="preserve">  администрации города Новочебоксарска Чувашской Республики</w:t>
      </w:r>
    </w:p>
    <w:p w:rsidR="00163A22" w:rsidRDefault="00A25058">
      <w:pPr>
        <w:ind w:left="5670" w:firstLine="0"/>
        <w:rPr>
          <w:bCs/>
          <w:color w:val="000000"/>
          <w:shd w:val="clear" w:color="auto" w:fill="FFFFFF"/>
        </w:rPr>
      </w:pPr>
      <w:r>
        <w:rPr>
          <w:bCs/>
          <w:color w:val="000000" w:themeColor="text1"/>
          <w:shd w:val="clear" w:color="auto" w:fill="FFFFFF"/>
        </w:rPr>
        <w:t xml:space="preserve">от </w:t>
      </w:r>
      <w:r w:rsidR="001D55D7">
        <w:rPr>
          <w:bCs/>
          <w:color w:val="000000" w:themeColor="text1"/>
          <w:shd w:val="clear" w:color="auto" w:fill="FFFFFF"/>
        </w:rPr>
        <w:t>19.01.2024</w:t>
      </w:r>
      <w:r>
        <w:rPr>
          <w:bCs/>
          <w:color w:val="000000" w:themeColor="text1"/>
          <w:shd w:val="clear" w:color="auto" w:fill="FFFFFF"/>
        </w:rPr>
        <w:t xml:space="preserve"> №</w:t>
      </w:r>
      <w:r w:rsidR="001D55D7">
        <w:rPr>
          <w:bCs/>
          <w:color w:val="000000" w:themeColor="text1"/>
          <w:shd w:val="clear" w:color="auto" w:fill="FFFFFF"/>
        </w:rPr>
        <w:t xml:space="preserve"> 39</w:t>
      </w:r>
    </w:p>
    <w:p w:rsidR="00163A22" w:rsidRDefault="00163A22">
      <w:pPr>
        <w:ind w:left="5670"/>
        <w:rPr>
          <w:b/>
          <w:bCs/>
          <w:color w:val="000000"/>
          <w:shd w:val="clear" w:color="auto" w:fill="FFFFFF"/>
        </w:rPr>
      </w:pPr>
    </w:p>
    <w:p w:rsidR="00163A22" w:rsidRDefault="00A25058">
      <w:pPr>
        <w:ind w:firstLine="0"/>
        <w:jc w:val="center"/>
        <w:outlineLvl w:val="0"/>
        <w:rPr>
          <w:rFonts w:eastAsia="Times New Roman"/>
          <w:b/>
          <w:bCs/>
          <w:color w:val="000000"/>
        </w:rPr>
      </w:pPr>
      <w:r>
        <w:rPr>
          <w:rFonts w:eastAsia="Times New Roman"/>
          <w:b/>
          <w:bCs/>
          <w:color w:val="000000" w:themeColor="text1"/>
        </w:rPr>
        <w:t>Критерии</w:t>
      </w:r>
    </w:p>
    <w:p w:rsidR="00163A22" w:rsidRDefault="00A25058">
      <w:pPr>
        <w:ind w:firstLine="0"/>
        <w:jc w:val="center"/>
        <w:outlineLvl w:val="0"/>
        <w:rPr>
          <w:rFonts w:eastAsia="Times New Roman"/>
          <w:b/>
          <w:bCs/>
          <w:color w:val="000000"/>
        </w:rPr>
      </w:pPr>
      <w:r>
        <w:rPr>
          <w:rFonts w:eastAsia="Times New Roman"/>
          <w:b/>
          <w:bCs/>
          <w:color w:val="000000" w:themeColor="text1"/>
        </w:rPr>
        <w:t xml:space="preserve">оценки эффективности деятельности муниципальных унитарных предприятий и хозяйственных обществ с долей участия администрации города Новочебоксарска Чувашской Республики более 50 процентов </w:t>
      </w:r>
    </w:p>
    <w:p w:rsidR="00163A22" w:rsidRDefault="00163A22">
      <w:pPr>
        <w:ind w:firstLine="0"/>
        <w:jc w:val="center"/>
        <w:outlineLvl w:val="0"/>
        <w:rPr>
          <w:rFonts w:eastAsia="Times New Roman"/>
          <w:b/>
          <w:bCs/>
          <w:color w:val="000000"/>
        </w:rPr>
      </w:pPr>
    </w:p>
    <w:tbl>
      <w:tblPr>
        <w:tblW w:w="9720"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2321"/>
        <w:gridCol w:w="2762"/>
        <w:gridCol w:w="3118"/>
        <w:gridCol w:w="12"/>
        <w:gridCol w:w="697"/>
        <w:gridCol w:w="12"/>
      </w:tblGrid>
      <w:tr w:rsidR="00163A22">
        <w:trPr>
          <w:gridAfter w:val="1"/>
          <w:wAfter w:w="12" w:type="dxa"/>
        </w:trPr>
        <w:tc>
          <w:tcPr>
            <w:tcW w:w="798" w:type="dxa"/>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 xml:space="preserve">N </w:t>
            </w:r>
          </w:p>
          <w:p w:rsidR="00163A22" w:rsidRDefault="00A25058">
            <w:pPr>
              <w:ind w:firstLine="0"/>
              <w:jc w:val="center"/>
              <w:rPr>
                <w:rFonts w:eastAsia="Times New Roman"/>
                <w:color w:val="000000"/>
                <w:sz w:val="23"/>
                <w:szCs w:val="23"/>
              </w:rPr>
            </w:pPr>
            <w:r>
              <w:rPr>
                <w:rFonts w:eastAsia="Times New Roman"/>
                <w:color w:val="000000" w:themeColor="text1"/>
                <w:sz w:val="23"/>
                <w:szCs w:val="23"/>
              </w:rPr>
              <w:t>п/п</w:t>
            </w:r>
          </w:p>
        </w:tc>
        <w:tc>
          <w:tcPr>
            <w:tcW w:w="2321" w:type="dxa"/>
            <w:tcBorders>
              <w:top w:val="single" w:sz="4" w:space="0" w:color="auto"/>
              <w:left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Наименование показателя</w:t>
            </w:r>
          </w:p>
        </w:tc>
        <w:tc>
          <w:tcPr>
            <w:tcW w:w="2762" w:type="dxa"/>
            <w:tcBorders>
              <w:top w:val="single" w:sz="4" w:space="0" w:color="auto"/>
              <w:left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Источник информации, порядок расчета</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Правило</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балл</w:t>
            </w:r>
          </w:p>
        </w:tc>
      </w:tr>
      <w:tr w:rsidR="00163A22">
        <w:tc>
          <w:tcPr>
            <w:tcW w:w="798" w:type="dxa"/>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c>
          <w:tcPr>
            <w:tcW w:w="8922" w:type="dxa"/>
            <w:gridSpan w:val="6"/>
            <w:tcBorders>
              <w:top w:val="single" w:sz="4" w:space="0" w:color="auto"/>
              <w:left w:val="single" w:sz="4" w:space="0" w:color="auto"/>
              <w:bottom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Результаты деятельности</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1.1.</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Выручка от продажи товаров, продукции, работ, услуг</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11" w:tooltip="https://internet.garant.ru/document/redirect/12177762/20001" w:history="1">
              <w:r w:rsidR="00A25058">
                <w:rPr>
                  <w:rFonts w:eastAsia="Times New Roman"/>
                  <w:color w:val="000000" w:themeColor="text1"/>
                  <w:sz w:val="23"/>
                  <w:szCs w:val="23"/>
                </w:rPr>
                <w:t>строка 2110</w:t>
              </w:r>
            </w:hyperlink>
            <w:r w:rsidR="00A25058">
              <w:rPr>
                <w:rFonts w:eastAsia="Times New Roman"/>
                <w:color w:val="000000" w:themeColor="text1"/>
                <w:sz w:val="23"/>
                <w:szCs w:val="23"/>
              </w:rPr>
              <w:t xml:space="preserve"> формы №2 «Отчет о финансовых результатах»</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Ниже уровня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1.2.</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Доля доходов от основной деятельности</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12" w:tooltip="https://internet.garant.ru/document/redirect/12177762/20001" w:history="1">
              <w:r w:rsidR="00A25058">
                <w:rPr>
                  <w:rFonts w:eastAsia="Times New Roman"/>
                  <w:color w:val="000000" w:themeColor="text1"/>
                  <w:sz w:val="23"/>
                  <w:szCs w:val="23"/>
                </w:rPr>
                <w:t>стр. 2110</w:t>
              </w:r>
            </w:hyperlink>
            <w:r w:rsidR="00A25058">
              <w:rPr>
                <w:rFonts w:eastAsia="Times New Roman"/>
                <w:color w:val="000000" w:themeColor="text1"/>
                <w:sz w:val="23"/>
                <w:szCs w:val="23"/>
              </w:rPr>
              <w:t xml:space="preserve"> : (</w:t>
            </w:r>
            <w:hyperlink r:id="rId13" w:tooltip="https://internet.garant.ru/document/redirect/12177762/20001" w:history="1">
              <w:r w:rsidR="00A25058">
                <w:rPr>
                  <w:rFonts w:eastAsia="Times New Roman"/>
                  <w:color w:val="000000" w:themeColor="text1"/>
                  <w:sz w:val="23"/>
                  <w:szCs w:val="23"/>
                </w:rPr>
                <w:t>стр. 2110</w:t>
              </w:r>
            </w:hyperlink>
            <w:r w:rsidR="00A25058">
              <w:rPr>
                <w:rFonts w:eastAsia="Times New Roman"/>
                <w:color w:val="000000" w:themeColor="text1"/>
                <w:sz w:val="23"/>
                <w:szCs w:val="23"/>
              </w:rPr>
              <w:t xml:space="preserve"> + </w:t>
            </w:r>
            <w:hyperlink r:id="rId14" w:tooltip="https://internet.garant.ru/document/redirect/12177762/20007" w:history="1">
              <w:r w:rsidR="00A25058">
                <w:rPr>
                  <w:rFonts w:eastAsia="Times New Roman"/>
                  <w:color w:val="000000" w:themeColor="text1"/>
                  <w:sz w:val="23"/>
                  <w:szCs w:val="23"/>
                </w:rPr>
                <w:t>стр. 2310</w:t>
              </w:r>
            </w:hyperlink>
            <w:r w:rsidR="00A25058">
              <w:rPr>
                <w:rFonts w:eastAsia="Times New Roman"/>
                <w:color w:val="000000" w:themeColor="text1"/>
                <w:sz w:val="23"/>
                <w:szCs w:val="23"/>
              </w:rPr>
              <w:t xml:space="preserve"> + </w:t>
            </w:r>
            <w:hyperlink r:id="rId15" w:tooltip="https://internet.garant.ru/document/redirect/12177762/20008" w:history="1">
              <w:r w:rsidR="00A25058">
                <w:rPr>
                  <w:rFonts w:eastAsia="Times New Roman"/>
                  <w:color w:val="000000" w:themeColor="text1"/>
                  <w:sz w:val="23"/>
                  <w:szCs w:val="23"/>
                </w:rPr>
                <w:t>стр. 2320</w:t>
              </w:r>
            </w:hyperlink>
            <w:r w:rsidR="00A25058">
              <w:rPr>
                <w:rFonts w:eastAsia="Times New Roman"/>
                <w:color w:val="000000" w:themeColor="text1"/>
                <w:sz w:val="23"/>
                <w:szCs w:val="23"/>
              </w:rPr>
              <w:t xml:space="preserve"> + </w:t>
            </w:r>
            <w:hyperlink r:id="rId16" w:tooltip="https://internet.garant.ru/document/redirect/12177762/20010" w:history="1">
              <w:r w:rsidR="00A25058">
                <w:rPr>
                  <w:rFonts w:eastAsia="Times New Roman"/>
                  <w:color w:val="000000" w:themeColor="text1"/>
                  <w:sz w:val="23"/>
                  <w:szCs w:val="23"/>
                </w:rPr>
                <w:t>стр. 2340</w:t>
              </w:r>
            </w:hyperlink>
            <w:r w:rsidR="00A25058">
              <w:rPr>
                <w:rFonts w:eastAsia="Times New Roman"/>
                <w:color w:val="000000" w:themeColor="text1"/>
                <w:sz w:val="23"/>
                <w:szCs w:val="23"/>
              </w:rPr>
              <w:t>) х 100 формы №2 «Отчет о финансовых результатах»</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70% и более</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50% до 70%</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до 50%</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1.3.</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Чистая прибыль (убыток)</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17" w:tooltip="https://internet.garant.ru/document/redirect/12177762/20017" w:history="1">
              <w:r w:rsidR="00A25058">
                <w:rPr>
                  <w:rFonts w:eastAsia="Times New Roman"/>
                  <w:color w:val="000000" w:themeColor="text1"/>
                  <w:sz w:val="23"/>
                  <w:szCs w:val="23"/>
                </w:rPr>
                <w:t>строка 2400</w:t>
              </w:r>
            </w:hyperlink>
            <w:r w:rsidR="00A25058">
              <w:rPr>
                <w:rFonts w:eastAsia="Times New Roman"/>
                <w:color w:val="000000" w:themeColor="text1"/>
                <w:sz w:val="23"/>
                <w:szCs w:val="23"/>
              </w:rPr>
              <w:t xml:space="preserve"> формы №2 «Отчет о финансовых результатах»</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Положительное значение и при положительном значении 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4</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Отрицательное значение</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1.4</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Общая рентабельность</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w:t>
            </w:r>
            <w:hyperlink r:id="rId18" w:tooltip="https://internet.garant.ru/document/redirect/12177762/20017" w:history="1">
              <w:r>
                <w:rPr>
                  <w:rFonts w:eastAsia="Times New Roman"/>
                  <w:color w:val="000000" w:themeColor="text1"/>
                  <w:sz w:val="23"/>
                  <w:szCs w:val="23"/>
                </w:rPr>
                <w:t>строка 2400</w:t>
              </w:r>
            </w:hyperlink>
            <w:r>
              <w:rPr>
                <w:rFonts w:eastAsia="Times New Roman"/>
                <w:color w:val="000000" w:themeColor="text1"/>
                <w:sz w:val="23"/>
                <w:szCs w:val="23"/>
              </w:rPr>
              <w:t xml:space="preserve"> / </w:t>
            </w:r>
            <w:hyperlink r:id="rId19" w:tooltip="https://internet.garant.ru/document/redirect/12177762/20001" w:history="1">
              <w:r>
                <w:rPr>
                  <w:rFonts w:eastAsia="Times New Roman"/>
                  <w:color w:val="000000" w:themeColor="text1"/>
                  <w:sz w:val="23"/>
                  <w:szCs w:val="23"/>
                </w:rPr>
                <w:t>строка 2110</w:t>
              </w:r>
            </w:hyperlink>
            <w:r>
              <w:rPr>
                <w:rFonts w:eastAsia="Times New Roman"/>
                <w:color w:val="000000" w:themeColor="text1"/>
                <w:sz w:val="23"/>
                <w:szCs w:val="23"/>
              </w:rPr>
              <w:t xml:space="preserve"> формы №2 «Отчет о финансовых результатах») x 100</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Значение показателя от 3% и более (от 1,5% и более - для организаций, оказывающих регулируемый вид деятельности)</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Значение показателя более от 0% до 3% (от 0% до 1,5% - для организаций, оказывающих регулируемый вид деятельности)</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Отрицательный показатель</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c>
          <w:tcPr>
            <w:tcW w:w="798" w:type="dxa"/>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lastRenderedPageBreak/>
              <w:t>2.</w:t>
            </w:r>
          </w:p>
        </w:tc>
        <w:tc>
          <w:tcPr>
            <w:tcW w:w="8922" w:type="dxa"/>
            <w:gridSpan w:val="6"/>
            <w:tcBorders>
              <w:top w:val="single" w:sz="4" w:space="0" w:color="auto"/>
              <w:left w:val="single" w:sz="4" w:space="0" w:color="auto"/>
              <w:bottom w:val="none" w:sz="4" w:space="0" w:color="000000"/>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Эффективность использования имущества</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2.1.</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Стоимость имущества (валюта баланса)</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20" w:tooltip="https://internet.garant.ru/document/redirect/12177762/10208" w:history="1">
              <w:r w:rsidR="00A25058">
                <w:rPr>
                  <w:rFonts w:eastAsia="Times New Roman"/>
                  <w:color w:val="000000" w:themeColor="text1"/>
                  <w:sz w:val="23"/>
                  <w:szCs w:val="23"/>
                </w:rPr>
                <w:t>строка 1600</w:t>
              </w:r>
            </w:hyperlink>
            <w:r w:rsidR="00A25058">
              <w:rPr>
                <w:rFonts w:eastAsia="Times New Roman"/>
                <w:color w:val="000000" w:themeColor="text1"/>
                <w:sz w:val="23"/>
                <w:szCs w:val="23"/>
              </w:rPr>
              <w:t xml:space="preserve"> формы №1 Бухгалтерский баланс»</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2.2.</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Стоимость основных средств</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21" w:tooltip="https://internet.garant.ru/document/redirect/12177762/10103" w:history="1">
              <w:r w:rsidR="00A25058">
                <w:rPr>
                  <w:rFonts w:eastAsia="Times New Roman"/>
                  <w:color w:val="000000" w:themeColor="text1"/>
                  <w:sz w:val="23"/>
                  <w:szCs w:val="23"/>
                </w:rPr>
                <w:t>строка 1150</w:t>
              </w:r>
            </w:hyperlink>
            <w:r w:rsidR="00A25058">
              <w:rPr>
                <w:rFonts w:eastAsia="Times New Roman"/>
                <w:color w:val="000000" w:themeColor="text1"/>
                <w:sz w:val="23"/>
                <w:szCs w:val="23"/>
              </w:rPr>
              <w:t xml:space="preserve"> формы №1 «Бухгалтерский баланс»</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2.3.</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Величина чистых активов</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 xml:space="preserve">рассчитывается в </w:t>
            </w:r>
            <w:hyperlink r:id="rId22" w:tooltip="https://internet.garant.ru/document/redirect/12130224/1000" w:history="1">
              <w:r>
                <w:rPr>
                  <w:rFonts w:eastAsia="Times New Roman"/>
                  <w:color w:val="000000" w:themeColor="text1"/>
                  <w:sz w:val="23"/>
                  <w:szCs w:val="23"/>
                </w:rPr>
                <w:t>порядке</w:t>
              </w:r>
            </w:hyperlink>
            <w:r>
              <w:rPr>
                <w:rFonts w:eastAsia="Times New Roman"/>
                <w:color w:val="000000" w:themeColor="text1"/>
                <w:sz w:val="23"/>
                <w:szCs w:val="23"/>
              </w:rPr>
              <w:t xml:space="preserve">, установленном </w:t>
            </w:r>
            <w:hyperlink r:id="rId23" w:tooltip="https://internet.garant.ru/document/redirect/12130224/0" w:history="1">
              <w:r>
                <w:rPr>
                  <w:rFonts w:eastAsia="Times New Roman"/>
                  <w:color w:val="000000" w:themeColor="text1"/>
                  <w:sz w:val="23"/>
                  <w:szCs w:val="23"/>
                </w:rPr>
                <w:t>приказом</w:t>
              </w:r>
            </w:hyperlink>
            <w:r>
              <w:rPr>
                <w:rFonts w:eastAsia="Times New Roman"/>
                <w:color w:val="000000" w:themeColor="text1"/>
                <w:sz w:val="23"/>
                <w:szCs w:val="23"/>
              </w:rPr>
              <w:t xml:space="preserve"> Минфина РФ и Федеральной комиссии по рынку ценных бумаг от 29.01.2003 N 10н, 03-6/</w:t>
            </w:r>
            <w:proofErr w:type="spellStart"/>
            <w:r>
              <w:rPr>
                <w:rFonts w:eastAsia="Times New Roman"/>
                <w:color w:val="000000" w:themeColor="text1"/>
                <w:sz w:val="23"/>
                <w:szCs w:val="23"/>
              </w:rPr>
              <w:t>пз</w:t>
            </w:r>
            <w:proofErr w:type="spellEnd"/>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2.4</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Рентабельность собственного капитала</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w:t>
            </w:r>
            <w:hyperlink r:id="rId24" w:tooltip="https://internet.garant.ru/document/redirect/12177762/20017" w:history="1">
              <w:r>
                <w:rPr>
                  <w:rFonts w:eastAsia="Times New Roman"/>
                  <w:color w:val="000000" w:themeColor="text1"/>
                  <w:sz w:val="23"/>
                  <w:szCs w:val="23"/>
                </w:rPr>
                <w:t>строка 2400</w:t>
              </w:r>
            </w:hyperlink>
            <w:r>
              <w:rPr>
                <w:rFonts w:eastAsia="Times New Roman"/>
                <w:color w:val="000000" w:themeColor="text1"/>
                <w:sz w:val="23"/>
                <w:szCs w:val="23"/>
              </w:rPr>
              <w:t xml:space="preserve"> формы №2 «Отчет о финансовых результатах» / среднегодовое значение собственного капитала) x 100</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2.5.</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Фондоотдача</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25" w:tooltip="https://internet.garant.ru/document/redirect/12177762/20001" w:history="1">
              <w:r w:rsidR="00A25058">
                <w:rPr>
                  <w:rFonts w:eastAsia="Times New Roman"/>
                  <w:color w:val="000000" w:themeColor="text1"/>
                  <w:sz w:val="23"/>
                  <w:szCs w:val="23"/>
                </w:rPr>
                <w:t>строка 2110</w:t>
              </w:r>
            </w:hyperlink>
            <w:r w:rsidR="00A25058">
              <w:rPr>
                <w:rFonts w:eastAsia="Times New Roman"/>
                <w:color w:val="000000" w:themeColor="text1"/>
                <w:sz w:val="23"/>
                <w:szCs w:val="23"/>
              </w:rPr>
              <w:t xml:space="preserve"> формы №2 «Отчет о финансовых результатах» / среднегодовое значение стоимости основных фондов</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c>
          <w:tcPr>
            <w:tcW w:w="798" w:type="dxa"/>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w:t>
            </w:r>
          </w:p>
        </w:tc>
        <w:tc>
          <w:tcPr>
            <w:tcW w:w="8922" w:type="dxa"/>
            <w:gridSpan w:val="6"/>
            <w:tcBorders>
              <w:top w:val="single" w:sz="4" w:space="0" w:color="auto"/>
              <w:left w:val="single" w:sz="4" w:space="0" w:color="auto"/>
              <w:bottom w:val="none" w:sz="4" w:space="0" w:color="000000"/>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Эффективность использования трудовых ресурсов</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3.1.</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Среднесписочная численность</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Создание дополнительных и новых рабочих мест</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 и при плановых мероприятиях по оптимизации численности работников</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3.2.</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Средняя заработная плата по предприятию</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3.3.</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Выработка на 1 работающего</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26" w:tooltip="https://internet.garant.ru/document/redirect/12177762/20001" w:history="1">
              <w:r w:rsidR="00A25058">
                <w:rPr>
                  <w:rFonts w:eastAsia="Times New Roman"/>
                  <w:color w:val="000000" w:themeColor="text1"/>
                  <w:sz w:val="23"/>
                  <w:szCs w:val="23"/>
                </w:rPr>
                <w:t>строка 2110</w:t>
              </w:r>
            </w:hyperlink>
            <w:r w:rsidR="00A25058">
              <w:rPr>
                <w:rFonts w:eastAsia="Times New Roman"/>
                <w:color w:val="000000" w:themeColor="text1"/>
                <w:sz w:val="23"/>
                <w:szCs w:val="23"/>
              </w:rPr>
              <w:t xml:space="preserve"> формы N 2 «Отчет о финансовых результатах» / среднесписочная численность работников</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c>
          <w:tcPr>
            <w:tcW w:w="798" w:type="dxa"/>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4.</w:t>
            </w:r>
          </w:p>
        </w:tc>
        <w:tc>
          <w:tcPr>
            <w:tcW w:w="8922" w:type="dxa"/>
            <w:gridSpan w:val="6"/>
            <w:tcBorders>
              <w:top w:val="single" w:sz="4" w:space="0" w:color="auto"/>
              <w:left w:val="single" w:sz="4" w:space="0" w:color="auto"/>
              <w:bottom w:val="none" w:sz="4" w:space="0" w:color="000000"/>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Поступления в бюджет города Новочебоксарска</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4.1.</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 xml:space="preserve">Часть чистой прибыли или дивиденды, подлежащие перечислению в </w:t>
            </w:r>
            <w:r>
              <w:rPr>
                <w:rFonts w:eastAsia="Times New Roman"/>
                <w:color w:val="000000" w:themeColor="text1"/>
                <w:sz w:val="23"/>
                <w:szCs w:val="23"/>
              </w:rPr>
              <w:lastRenderedPageBreak/>
              <w:t>бюджет города Новочебоксарска</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Положительная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На уровне соответствующего периода прошлого года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4</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Отрицательная динамика</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c>
          <w:tcPr>
            <w:tcW w:w="798" w:type="dxa"/>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w:t>
            </w:r>
          </w:p>
        </w:tc>
        <w:tc>
          <w:tcPr>
            <w:tcW w:w="8922" w:type="dxa"/>
            <w:gridSpan w:val="6"/>
            <w:tcBorders>
              <w:top w:val="single" w:sz="4" w:space="0" w:color="auto"/>
              <w:left w:val="single" w:sz="4" w:space="0" w:color="auto"/>
              <w:bottom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Финансовые коэффициенты</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5.1.</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Коэффициент текущей ликвидности</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w:t>
            </w:r>
            <w:hyperlink r:id="rId27" w:tooltip="https://internet.garant.ru/document/redirect/12177762/10207" w:history="1">
              <w:r>
                <w:rPr>
                  <w:rFonts w:eastAsia="Times New Roman"/>
                  <w:color w:val="000000" w:themeColor="text1"/>
                  <w:sz w:val="23"/>
                  <w:szCs w:val="23"/>
                </w:rPr>
                <w:t>строка 1200</w:t>
              </w:r>
            </w:hyperlink>
            <w:r>
              <w:rPr>
                <w:rFonts w:eastAsia="Times New Roman"/>
                <w:color w:val="000000" w:themeColor="text1"/>
                <w:sz w:val="23"/>
                <w:szCs w:val="23"/>
              </w:rPr>
              <w:t xml:space="preserve"> - дебит. </w:t>
            </w:r>
            <w:proofErr w:type="spellStart"/>
            <w:r>
              <w:rPr>
                <w:rFonts w:eastAsia="Times New Roman"/>
                <w:color w:val="000000" w:themeColor="text1"/>
                <w:sz w:val="23"/>
                <w:szCs w:val="23"/>
              </w:rPr>
              <w:t>задолж</w:t>
            </w:r>
            <w:proofErr w:type="spellEnd"/>
            <w:r>
              <w:rPr>
                <w:rFonts w:eastAsia="Times New Roman"/>
                <w:color w:val="000000" w:themeColor="text1"/>
                <w:sz w:val="23"/>
                <w:szCs w:val="23"/>
              </w:rPr>
              <w:t>. свыше 12 мес.) / (</w:t>
            </w:r>
            <w:hyperlink r:id="rId28" w:tooltip="https://internet.garant.ru/document/redirect/12177762/10506" w:history="1">
              <w:r>
                <w:rPr>
                  <w:rFonts w:eastAsia="Times New Roman"/>
                  <w:color w:val="000000" w:themeColor="text1"/>
                  <w:sz w:val="23"/>
                  <w:szCs w:val="23"/>
                </w:rPr>
                <w:t>строка 1500</w:t>
              </w:r>
            </w:hyperlink>
            <w:r>
              <w:rPr>
                <w:rFonts w:eastAsia="Times New Roman"/>
                <w:color w:val="000000" w:themeColor="text1"/>
                <w:sz w:val="23"/>
                <w:szCs w:val="23"/>
              </w:rPr>
              <w:t xml:space="preserve"> - </w:t>
            </w:r>
            <w:hyperlink r:id="rId29" w:tooltip="https://internet.garant.ru/document/redirect/12177762/10503" w:history="1">
              <w:r>
                <w:rPr>
                  <w:rFonts w:eastAsia="Times New Roman"/>
                  <w:color w:val="000000" w:themeColor="text1"/>
                  <w:sz w:val="23"/>
                  <w:szCs w:val="23"/>
                </w:rPr>
                <w:t>строка 1530</w:t>
              </w:r>
            </w:hyperlink>
            <w:r>
              <w:rPr>
                <w:rFonts w:eastAsia="Times New Roman"/>
                <w:color w:val="000000" w:themeColor="text1"/>
                <w:sz w:val="23"/>
                <w:szCs w:val="23"/>
              </w:rPr>
              <w:t>) формы N 1 "Бухгалтерский баланс"</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1 и более</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0,9 до 1</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ниже 0,9</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5.2.</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Коэффициент обеспеченности собственными средствами</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w:t>
            </w:r>
            <w:hyperlink r:id="rId30" w:tooltip="https://internet.garant.ru/document/redirect/12177762/10307" w:history="1">
              <w:r>
                <w:rPr>
                  <w:rFonts w:eastAsia="Times New Roman"/>
                  <w:color w:val="000000" w:themeColor="text1"/>
                  <w:sz w:val="23"/>
                  <w:szCs w:val="23"/>
                </w:rPr>
                <w:t>строка 1300</w:t>
              </w:r>
            </w:hyperlink>
            <w:r>
              <w:rPr>
                <w:rFonts w:eastAsia="Times New Roman"/>
                <w:color w:val="000000" w:themeColor="text1"/>
                <w:sz w:val="23"/>
                <w:szCs w:val="23"/>
              </w:rPr>
              <w:t xml:space="preserve"> + </w:t>
            </w:r>
            <w:hyperlink r:id="rId31" w:tooltip="https://internet.garant.ru/document/redirect/12177762/10503" w:history="1">
              <w:r>
                <w:rPr>
                  <w:rFonts w:eastAsia="Times New Roman"/>
                  <w:color w:val="000000" w:themeColor="text1"/>
                  <w:sz w:val="23"/>
                  <w:szCs w:val="23"/>
                </w:rPr>
                <w:t>строка 1530</w:t>
              </w:r>
            </w:hyperlink>
            <w:r>
              <w:rPr>
                <w:rFonts w:eastAsia="Times New Roman"/>
                <w:color w:val="000000" w:themeColor="text1"/>
                <w:sz w:val="23"/>
                <w:szCs w:val="23"/>
              </w:rPr>
              <w:t xml:space="preserve"> - </w:t>
            </w:r>
            <w:hyperlink r:id="rId32" w:tooltip="https://internet.garant.ru/document/redirect/12177762/10108" w:history="1">
              <w:r>
                <w:rPr>
                  <w:rFonts w:eastAsia="Times New Roman"/>
                  <w:color w:val="000000" w:themeColor="text1"/>
                  <w:sz w:val="23"/>
                  <w:szCs w:val="23"/>
                </w:rPr>
                <w:t>строка 1100</w:t>
              </w:r>
            </w:hyperlink>
            <w:r>
              <w:rPr>
                <w:rFonts w:eastAsia="Times New Roman"/>
                <w:color w:val="000000" w:themeColor="text1"/>
                <w:sz w:val="23"/>
                <w:szCs w:val="23"/>
              </w:rPr>
              <w:t>) / (</w:t>
            </w:r>
            <w:hyperlink r:id="rId33" w:tooltip="https://internet.garant.ru/document/redirect/12177762/10207" w:history="1">
              <w:r>
                <w:rPr>
                  <w:rFonts w:eastAsia="Times New Roman"/>
                  <w:color w:val="000000" w:themeColor="text1"/>
                  <w:sz w:val="23"/>
                  <w:szCs w:val="23"/>
                </w:rPr>
                <w:t>строка 1200</w:t>
              </w:r>
            </w:hyperlink>
            <w:r>
              <w:rPr>
                <w:rFonts w:eastAsia="Times New Roman"/>
                <w:color w:val="000000" w:themeColor="text1"/>
                <w:sz w:val="23"/>
                <w:szCs w:val="23"/>
              </w:rPr>
              <w:t>) формы №1 «Бухгалтерский баланс»</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0,1 и более</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0,09 до 0,1</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ниже 0,09</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5.3.</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Коэффициент финансовой независимости (коэффициент автономии)</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2969A8">
            <w:pPr>
              <w:ind w:firstLine="0"/>
              <w:jc w:val="left"/>
              <w:rPr>
                <w:rFonts w:eastAsia="Times New Roman"/>
                <w:color w:val="000000"/>
                <w:sz w:val="23"/>
                <w:szCs w:val="23"/>
              </w:rPr>
            </w:pPr>
            <w:hyperlink r:id="rId34" w:tooltip="https://internet.garant.ru/document/redirect/12177762/10307" w:history="1">
              <w:r w:rsidR="00A25058">
                <w:rPr>
                  <w:rFonts w:eastAsia="Times New Roman"/>
                  <w:color w:val="000000" w:themeColor="text1"/>
                  <w:sz w:val="23"/>
                  <w:szCs w:val="23"/>
                </w:rPr>
                <w:t>строка 1300</w:t>
              </w:r>
            </w:hyperlink>
            <w:r w:rsidR="00A25058">
              <w:rPr>
                <w:rFonts w:eastAsia="Times New Roman"/>
                <w:color w:val="000000" w:themeColor="text1"/>
                <w:sz w:val="23"/>
                <w:szCs w:val="23"/>
              </w:rPr>
              <w:t xml:space="preserve"> / </w:t>
            </w:r>
            <w:hyperlink r:id="rId35" w:tooltip="https://internet.garant.ru/document/redirect/12177762/10507" w:history="1">
              <w:r w:rsidR="00A25058">
                <w:rPr>
                  <w:rFonts w:eastAsia="Times New Roman"/>
                  <w:color w:val="000000" w:themeColor="text1"/>
                  <w:sz w:val="23"/>
                  <w:szCs w:val="23"/>
                </w:rPr>
                <w:t>строка 1700</w:t>
              </w:r>
            </w:hyperlink>
            <w:r w:rsidR="00A25058">
              <w:rPr>
                <w:rFonts w:eastAsia="Times New Roman"/>
                <w:color w:val="000000" w:themeColor="text1"/>
                <w:sz w:val="23"/>
                <w:szCs w:val="23"/>
              </w:rPr>
              <w:t xml:space="preserve"> формы №1 «Бухгалтерский баланс»</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0,5 и более</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0,4 до 0,5</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ниже 0,4</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rPr>
          <w:gridAfter w:val="1"/>
          <w:wAfter w:w="12" w:type="dxa"/>
        </w:trPr>
        <w:tc>
          <w:tcPr>
            <w:tcW w:w="798" w:type="dxa"/>
            <w:vMerge w:val="restart"/>
            <w:tcBorders>
              <w:top w:val="single" w:sz="4" w:space="0" w:color="auto"/>
              <w:bottom w:val="single" w:sz="4" w:space="0" w:color="auto"/>
              <w:right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5.4.</w:t>
            </w:r>
          </w:p>
        </w:tc>
        <w:tc>
          <w:tcPr>
            <w:tcW w:w="2321"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Коэффициент соотношения заемных и собственных средств</w:t>
            </w:r>
          </w:p>
        </w:tc>
        <w:tc>
          <w:tcPr>
            <w:tcW w:w="2762" w:type="dxa"/>
            <w:vMerge w:val="restart"/>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w:t>
            </w:r>
            <w:hyperlink r:id="rId36" w:tooltip="https://internet.garant.ru/document/redirect/12177762/10405" w:history="1">
              <w:r>
                <w:rPr>
                  <w:rFonts w:eastAsia="Times New Roman"/>
                  <w:color w:val="000000" w:themeColor="text1"/>
                  <w:sz w:val="23"/>
                  <w:szCs w:val="23"/>
                </w:rPr>
                <w:t>строка 1400</w:t>
              </w:r>
            </w:hyperlink>
            <w:r>
              <w:rPr>
                <w:rFonts w:eastAsia="Times New Roman"/>
                <w:color w:val="000000" w:themeColor="text1"/>
                <w:sz w:val="23"/>
                <w:szCs w:val="23"/>
              </w:rPr>
              <w:t xml:space="preserve"> + </w:t>
            </w:r>
            <w:hyperlink r:id="rId37" w:tooltip="https://internet.garant.ru/document/redirect/12177762/10506" w:history="1">
              <w:r>
                <w:rPr>
                  <w:rFonts w:eastAsia="Times New Roman"/>
                  <w:color w:val="000000" w:themeColor="text1"/>
                  <w:sz w:val="23"/>
                  <w:szCs w:val="23"/>
                </w:rPr>
                <w:t>строка 1500</w:t>
              </w:r>
            </w:hyperlink>
            <w:r>
              <w:rPr>
                <w:rFonts w:eastAsia="Times New Roman"/>
                <w:color w:val="000000" w:themeColor="text1"/>
                <w:sz w:val="23"/>
                <w:szCs w:val="23"/>
              </w:rPr>
              <w:t>) / (</w:t>
            </w:r>
            <w:hyperlink r:id="rId38" w:tooltip="https://internet.garant.ru/document/redirect/12177762/10307" w:history="1">
              <w:r>
                <w:rPr>
                  <w:rFonts w:eastAsia="Times New Roman"/>
                  <w:color w:val="000000" w:themeColor="text1"/>
                  <w:sz w:val="23"/>
                  <w:szCs w:val="23"/>
                </w:rPr>
                <w:t>строка 1300</w:t>
              </w:r>
            </w:hyperlink>
            <w:r>
              <w:rPr>
                <w:rFonts w:eastAsia="Times New Roman"/>
                <w:color w:val="000000" w:themeColor="text1"/>
                <w:sz w:val="23"/>
                <w:szCs w:val="23"/>
              </w:rPr>
              <w:t>) формы №1 «Бухгалтерский баланс»</w:t>
            </w: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не более 0,7</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2</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none" w:sz="4" w:space="0" w:color="000000"/>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0,7 до 0,8</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1</w:t>
            </w:r>
          </w:p>
        </w:tc>
      </w:tr>
      <w:tr w:rsidR="00163A22">
        <w:trPr>
          <w:gridAfter w:val="1"/>
          <w:wAfter w:w="12" w:type="dxa"/>
        </w:trPr>
        <w:tc>
          <w:tcPr>
            <w:tcW w:w="798" w:type="dxa"/>
            <w:vMerge/>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321"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2762" w:type="dxa"/>
            <w:vMerge/>
            <w:tcBorders>
              <w:top w:val="none" w:sz="4" w:space="0" w:color="000000"/>
              <w:left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3118" w:type="dxa"/>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от 0,8 и более</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0</w:t>
            </w:r>
          </w:p>
        </w:tc>
      </w:tr>
      <w:tr w:rsidR="00163A22">
        <w:tc>
          <w:tcPr>
            <w:tcW w:w="798" w:type="dxa"/>
            <w:tcBorders>
              <w:top w:val="single" w:sz="4" w:space="0" w:color="auto"/>
              <w:bottom w:val="single" w:sz="4" w:space="0" w:color="auto"/>
              <w:right w:val="single" w:sz="4" w:space="0" w:color="auto"/>
            </w:tcBorders>
          </w:tcPr>
          <w:p w:rsidR="00163A22" w:rsidRDefault="00163A22">
            <w:pPr>
              <w:ind w:firstLine="0"/>
              <w:rPr>
                <w:rFonts w:eastAsia="Times New Roman"/>
                <w:color w:val="000000"/>
                <w:sz w:val="23"/>
                <w:szCs w:val="23"/>
              </w:rPr>
            </w:pPr>
          </w:p>
        </w:tc>
        <w:tc>
          <w:tcPr>
            <w:tcW w:w="8213" w:type="dxa"/>
            <w:gridSpan w:val="4"/>
            <w:tcBorders>
              <w:top w:val="single" w:sz="4" w:space="0" w:color="auto"/>
              <w:left w:val="single" w:sz="4" w:space="0" w:color="auto"/>
              <w:bottom w:val="single" w:sz="4" w:space="0" w:color="auto"/>
              <w:right w:val="single" w:sz="4" w:space="0" w:color="auto"/>
            </w:tcBorders>
          </w:tcPr>
          <w:p w:rsidR="00163A22" w:rsidRDefault="00A25058">
            <w:pPr>
              <w:ind w:firstLine="0"/>
              <w:jc w:val="left"/>
              <w:rPr>
                <w:rFonts w:eastAsia="Times New Roman"/>
                <w:color w:val="000000"/>
                <w:sz w:val="23"/>
                <w:szCs w:val="23"/>
              </w:rPr>
            </w:pPr>
            <w:r>
              <w:rPr>
                <w:rFonts w:eastAsia="Times New Roman"/>
                <w:color w:val="000000" w:themeColor="text1"/>
                <w:sz w:val="23"/>
                <w:szCs w:val="23"/>
              </w:rPr>
              <w:t>Максимальное суммовое значение показателей эффективности деятельности</w:t>
            </w:r>
          </w:p>
        </w:tc>
        <w:tc>
          <w:tcPr>
            <w:tcW w:w="709" w:type="dxa"/>
            <w:gridSpan w:val="2"/>
            <w:tcBorders>
              <w:top w:val="single" w:sz="4" w:space="0" w:color="auto"/>
              <w:left w:val="single" w:sz="4" w:space="0" w:color="auto"/>
              <w:bottom w:val="single" w:sz="4" w:space="0" w:color="auto"/>
            </w:tcBorders>
          </w:tcPr>
          <w:p w:rsidR="00163A22" w:rsidRDefault="00A25058">
            <w:pPr>
              <w:ind w:firstLine="0"/>
              <w:jc w:val="center"/>
              <w:rPr>
                <w:rFonts w:eastAsia="Times New Roman"/>
                <w:color w:val="000000"/>
                <w:sz w:val="23"/>
                <w:szCs w:val="23"/>
              </w:rPr>
            </w:pPr>
            <w:r>
              <w:rPr>
                <w:rFonts w:eastAsia="Times New Roman"/>
                <w:color w:val="000000" w:themeColor="text1"/>
                <w:sz w:val="23"/>
                <w:szCs w:val="23"/>
              </w:rPr>
              <w:t>45</w:t>
            </w:r>
          </w:p>
        </w:tc>
      </w:tr>
      <w:bookmarkEnd w:id="3"/>
    </w:tbl>
    <w:p w:rsidR="00163A22" w:rsidRDefault="00163A22">
      <w:pPr>
        <w:rPr>
          <w:rFonts w:eastAsia="Times New Roman"/>
        </w:rPr>
      </w:pPr>
    </w:p>
    <w:p w:rsidR="00163A22" w:rsidRDefault="00163A22">
      <w:pPr>
        <w:rPr>
          <w:color w:val="000000"/>
        </w:rPr>
      </w:pPr>
    </w:p>
    <w:sectPr w:rsidR="00163A22">
      <w:headerReference w:type="default" r:id="rId39"/>
      <w:footerReference w:type="default" r:id="rId40"/>
      <w:pgSz w:w="11900" w:h="16800"/>
      <w:pgMar w:top="993" w:right="80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22" w:rsidRDefault="00A25058">
      <w:r>
        <w:separator/>
      </w:r>
    </w:p>
  </w:endnote>
  <w:endnote w:type="continuationSeparator" w:id="0">
    <w:p w:rsidR="00163A22" w:rsidRDefault="00A2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00"/>
    <w:family w:val="auto"/>
    <w:pitch w:val="default"/>
  </w:font>
  <w:font w:name="Times New Roman Chuv">
    <w:panose1 w:val="02020603050405020304"/>
    <w:charset w:val="CC"/>
    <w:family w:val="roman"/>
    <w:pitch w:val="variable"/>
    <w:sig w:usb0="00000201" w:usb1="00000000" w:usb2="00000000" w:usb3="00000000" w:csb0="00000004" w:csb1="00000000"/>
  </w:font>
  <w:font w:name="TimesE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163A22">
      <w:tc>
        <w:tcPr>
          <w:tcW w:w="5079" w:type="dxa"/>
          <w:tcBorders>
            <w:top w:val="none" w:sz="4" w:space="0" w:color="000000"/>
            <w:left w:val="none" w:sz="4" w:space="0" w:color="000000"/>
            <w:bottom w:val="none" w:sz="4" w:space="0" w:color="000000"/>
            <w:right w:val="none" w:sz="4" w:space="0" w:color="000000"/>
          </w:tcBorders>
        </w:tcPr>
        <w:p w:rsidR="00163A22" w:rsidRDefault="00163A22">
          <w:pPr>
            <w:ind w:firstLine="0"/>
            <w:jc w:val="left"/>
            <w:rPr>
              <w:rFonts w:ascii="Times New Roman" w:hAnsi="Times New Roman" w:cs="Times New Roman"/>
              <w:sz w:val="20"/>
              <w:szCs w:val="20"/>
            </w:rPr>
          </w:pPr>
        </w:p>
      </w:tc>
      <w:tc>
        <w:tcPr>
          <w:tcW w:w="1666" w:type="pct"/>
          <w:tcBorders>
            <w:top w:val="none" w:sz="4" w:space="0" w:color="000000"/>
            <w:left w:val="none" w:sz="4" w:space="0" w:color="000000"/>
            <w:bottom w:val="none" w:sz="4" w:space="0" w:color="000000"/>
            <w:right w:val="none" w:sz="4" w:space="0" w:color="000000"/>
          </w:tcBorders>
        </w:tcPr>
        <w:p w:rsidR="00163A22" w:rsidRDefault="00163A22">
          <w:pPr>
            <w:ind w:firstLine="0"/>
            <w:jc w:val="center"/>
            <w:rPr>
              <w:rFonts w:ascii="Times New Roman" w:hAnsi="Times New Roman" w:cs="Times New Roman"/>
              <w:sz w:val="20"/>
              <w:szCs w:val="20"/>
            </w:rPr>
          </w:pPr>
        </w:p>
      </w:tc>
      <w:tc>
        <w:tcPr>
          <w:tcW w:w="1666" w:type="pct"/>
          <w:tcBorders>
            <w:top w:val="none" w:sz="4" w:space="0" w:color="000000"/>
            <w:left w:val="none" w:sz="4" w:space="0" w:color="000000"/>
            <w:bottom w:val="none" w:sz="4" w:space="0" w:color="000000"/>
            <w:right w:val="none" w:sz="4" w:space="0" w:color="000000"/>
          </w:tcBorders>
        </w:tcPr>
        <w:p w:rsidR="00163A22" w:rsidRDefault="00163A22">
          <w:pPr>
            <w:ind w:firstLine="0"/>
            <w:jc w:val="right"/>
            <w:rPr>
              <w:rFonts w:ascii="Times New Roman" w:hAnsi="Times New Roman" w:cs="Times New Roman"/>
              <w:sz w:val="20"/>
              <w:szCs w:val="20"/>
            </w:rPr>
          </w:pPr>
        </w:p>
        <w:p w:rsidR="00163A22" w:rsidRDefault="00163A22">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22" w:rsidRDefault="00A25058">
      <w:r>
        <w:separator/>
      </w:r>
    </w:p>
  </w:footnote>
  <w:footnote w:type="continuationSeparator" w:id="0">
    <w:p w:rsidR="00163A22" w:rsidRDefault="00A2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22" w:rsidRDefault="00163A22">
    <w:pPr>
      <w:pStyle w:val="afd"/>
      <w:rPr>
        <w:szCs w:val="20"/>
      </w:rPr>
    </w:pPr>
  </w:p>
  <w:p w:rsidR="00163A22" w:rsidRDefault="00163A22">
    <w:pPr>
      <w:pStyle w:val="afd"/>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FAC"/>
    <w:multiLevelType w:val="hybridMultilevel"/>
    <w:tmpl w:val="2B583C76"/>
    <w:lvl w:ilvl="0" w:tplc="033084CA">
      <w:start w:val="1"/>
      <w:numFmt w:val="bullet"/>
      <w:lvlText w:val=""/>
      <w:lvlJc w:val="left"/>
      <w:pPr>
        <w:ind w:left="720" w:hanging="360"/>
      </w:pPr>
      <w:rPr>
        <w:rFonts w:ascii="Symbol" w:hAnsi="Symbol" w:cs="Symbol"/>
      </w:rPr>
    </w:lvl>
    <w:lvl w:ilvl="1" w:tplc="B0808C86">
      <w:start w:val="1"/>
      <w:numFmt w:val="decimal"/>
      <w:lvlText w:val=""/>
      <w:lvlJc w:val="left"/>
    </w:lvl>
    <w:lvl w:ilvl="2" w:tplc="80467A80">
      <w:start w:val="1"/>
      <w:numFmt w:val="decimal"/>
      <w:lvlText w:val=""/>
      <w:lvlJc w:val="left"/>
    </w:lvl>
    <w:lvl w:ilvl="3" w:tplc="1F50C7EC">
      <w:start w:val="1"/>
      <w:numFmt w:val="decimal"/>
      <w:lvlText w:val=""/>
      <w:lvlJc w:val="left"/>
    </w:lvl>
    <w:lvl w:ilvl="4" w:tplc="5C2440F2">
      <w:start w:val="1"/>
      <w:numFmt w:val="decimal"/>
      <w:lvlText w:val=""/>
      <w:lvlJc w:val="left"/>
    </w:lvl>
    <w:lvl w:ilvl="5" w:tplc="1608A31C">
      <w:start w:val="1"/>
      <w:numFmt w:val="decimal"/>
      <w:lvlText w:val=""/>
      <w:lvlJc w:val="left"/>
    </w:lvl>
    <w:lvl w:ilvl="6" w:tplc="07D6E08C">
      <w:start w:val="1"/>
      <w:numFmt w:val="decimal"/>
      <w:lvlText w:val=""/>
      <w:lvlJc w:val="left"/>
    </w:lvl>
    <w:lvl w:ilvl="7" w:tplc="EDA47310">
      <w:start w:val="1"/>
      <w:numFmt w:val="decimal"/>
      <w:lvlText w:val=""/>
      <w:lvlJc w:val="left"/>
    </w:lvl>
    <w:lvl w:ilvl="8" w:tplc="C360AF2A">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22"/>
    <w:rsid w:val="00163A22"/>
    <w:rsid w:val="001D55D7"/>
    <w:rsid w:val="00284F59"/>
    <w:rsid w:val="002969A8"/>
    <w:rsid w:val="00314A66"/>
    <w:rsid w:val="00345367"/>
    <w:rsid w:val="003B03B1"/>
    <w:rsid w:val="0047081B"/>
    <w:rsid w:val="00590CF9"/>
    <w:rsid w:val="005C0F91"/>
    <w:rsid w:val="00770847"/>
    <w:rsid w:val="00790A83"/>
    <w:rsid w:val="007B1D0F"/>
    <w:rsid w:val="00A25058"/>
    <w:rsid w:val="00AC06D7"/>
    <w:rsid w:val="00B64879"/>
    <w:rsid w:val="00DE4F4E"/>
    <w:rsid w:val="00ED7981"/>
    <w:rsid w:val="00F505FE"/>
    <w:rsid w:val="00F52598"/>
    <w:rsid w:val="00F75E30"/>
    <w:rsid w:val="00FE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3655F1E-3980-478C-9FF8-47D3CA97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3">
    <w:name w:val="TOC Heading"/>
    <w:uiPriority w:val="39"/>
    <w:unhideWhenUsed/>
  </w:style>
  <w:style w:type="paragraph" w:styleId="af4">
    <w:name w:val="table of figures"/>
    <w:basedOn w:val="a"/>
    <w:next w:val="a"/>
    <w:uiPriority w:val="99"/>
    <w:unhideWhenUsed/>
  </w:style>
  <w:style w:type="character" w:customStyle="1" w:styleId="af5">
    <w:name w:val="Цветовое выделение"/>
    <w:uiPriority w:val="99"/>
    <w:rPr>
      <w:b/>
      <w:bCs/>
      <w:color w:val="26282F"/>
    </w:rPr>
  </w:style>
  <w:style w:type="character" w:customStyle="1" w:styleId="af6">
    <w:name w:val="Гипертекстовая ссылка"/>
    <w:basedOn w:val="af5"/>
    <w:uiPriority w:val="99"/>
    <w:rPr>
      <w:b/>
      <w:bCs/>
      <w:color w:val="106BBE"/>
    </w:rPr>
  </w:style>
  <w:style w:type="character" w:customStyle="1" w:styleId="10">
    <w:name w:val="Заголовок 1 Знак"/>
    <w:basedOn w:val="a0"/>
    <w:link w:val="1"/>
    <w:uiPriority w:val="99"/>
    <w:rPr>
      <w:rFonts w:asciiTheme="majorHAnsi" w:eastAsiaTheme="majorEastAsia" w:hAnsiTheme="majorHAnsi" w:cstheme="majorBidi"/>
      <w:b/>
      <w:bCs/>
      <w:sz w:val="32"/>
      <w:szCs w:val="32"/>
    </w:rPr>
  </w:style>
  <w:style w:type="paragraph" w:customStyle="1" w:styleId="af7">
    <w:name w:val="Текст (справка)"/>
    <w:basedOn w:val="a"/>
    <w:next w:val="a"/>
    <w:uiPriority w:val="99"/>
    <w:pPr>
      <w:ind w:left="170" w:right="170" w:firstLine="0"/>
      <w:jc w:val="left"/>
    </w:pPr>
  </w:style>
  <w:style w:type="paragraph" w:customStyle="1" w:styleId="af8">
    <w:name w:val="Комментарий"/>
    <w:basedOn w:val="af7"/>
    <w:next w:val="a"/>
    <w:uiPriority w:val="99"/>
    <w:pPr>
      <w:spacing w:before="75"/>
      <w:ind w:right="0"/>
      <w:jc w:val="both"/>
    </w:pPr>
    <w:rPr>
      <w:color w:val="353842"/>
    </w:rPr>
  </w:style>
  <w:style w:type="paragraph" w:customStyle="1" w:styleId="af9">
    <w:name w:val="Нормальный (таблица)"/>
    <w:basedOn w:val="a"/>
    <w:next w:val="a"/>
    <w:uiPriority w:val="99"/>
    <w:pPr>
      <w:ind w:firstLine="0"/>
    </w:pPr>
  </w:style>
  <w:style w:type="paragraph" w:customStyle="1" w:styleId="afa">
    <w:name w:val="Таблицы (моноширинный)"/>
    <w:basedOn w:val="a"/>
    <w:next w:val="a"/>
    <w:uiPriority w:val="99"/>
    <w:pPr>
      <w:ind w:firstLine="0"/>
      <w:jc w:val="left"/>
    </w:pPr>
    <w:rPr>
      <w:rFonts w:ascii="Courier New" w:hAnsi="Courier New" w:cs="Courier New"/>
    </w:rPr>
  </w:style>
  <w:style w:type="paragraph" w:customStyle="1" w:styleId="afb">
    <w:name w:val="Прижатый влево"/>
    <w:basedOn w:val="a"/>
    <w:next w:val="a"/>
    <w:uiPriority w:val="99"/>
    <w:pPr>
      <w:ind w:firstLine="0"/>
      <w:jc w:val="left"/>
    </w:pPr>
  </w:style>
  <w:style w:type="character" w:customStyle="1" w:styleId="afc">
    <w:name w:val="Цветовое выделение для Текст"/>
    <w:uiPriority w:val="99"/>
    <w:rPr>
      <w:rFonts w:ascii="Times New Roman CYR" w:hAnsi="Times New Roman CYR" w:cs="Times New Roman CYR"/>
    </w:rPr>
  </w:style>
  <w:style w:type="paragraph" w:styleId="afd">
    <w:name w:val="header"/>
    <w:basedOn w:val="a"/>
    <w:link w:val="afe"/>
    <w:uiPriority w:val="99"/>
    <w:semiHidden/>
    <w:unhideWhenUsed/>
    <w:pPr>
      <w:tabs>
        <w:tab w:val="center" w:pos="4677"/>
        <w:tab w:val="right" w:pos="9355"/>
      </w:tabs>
    </w:pPr>
  </w:style>
  <w:style w:type="character" w:customStyle="1" w:styleId="afe">
    <w:name w:val="Верхний колонтитул Знак"/>
    <w:basedOn w:val="a0"/>
    <w:link w:val="afd"/>
    <w:uiPriority w:val="99"/>
    <w:semiHidden/>
    <w:rPr>
      <w:rFonts w:ascii="Times New Roman CYR" w:hAnsi="Times New Roman CYR" w:cs="Times New Roman CYR"/>
      <w:sz w:val="24"/>
      <w:szCs w:val="24"/>
    </w:rPr>
  </w:style>
  <w:style w:type="paragraph" w:styleId="aff">
    <w:name w:val="footer"/>
    <w:basedOn w:val="a"/>
    <w:link w:val="aff0"/>
    <w:uiPriority w:val="99"/>
    <w:semiHidden/>
    <w:unhideWhenUsed/>
    <w:pPr>
      <w:tabs>
        <w:tab w:val="center" w:pos="4677"/>
        <w:tab w:val="right" w:pos="9355"/>
      </w:tabs>
    </w:pPr>
  </w:style>
  <w:style w:type="character" w:customStyle="1" w:styleId="aff0">
    <w:name w:val="Нижний колонтитул Знак"/>
    <w:basedOn w:val="a0"/>
    <w:link w:val="aff"/>
    <w:uiPriority w:val="99"/>
    <w:semiHidden/>
    <w:rPr>
      <w:rFonts w:ascii="Times New Roman CYR" w:hAnsi="Times New Roman CYR" w:cs="Times New Roman CYR"/>
      <w:sz w:val="24"/>
      <w:szCs w:val="24"/>
    </w:rPr>
  </w:style>
  <w:style w:type="paragraph" w:styleId="aff1">
    <w:name w:val="Balloon Text"/>
    <w:basedOn w:val="a"/>
    <w:link w:val="aff2"/>
    <w:uiPriority w:val="99"/>
    <w:semiHidden/>
    <w:unhideWhenUsed/>
    <w:rPr>
      <w:rFonts w:ascii="Tahoma" w:hAnsi="Tahoma" w:cs="Tahoma"/>
      <w:sz w:val="16"/>
      <w:szCs w:val="16"/>
    </w:rPr>
  </w:style>
  <w:style w:type="character" w:customStyle="1" w:styleId="aff2">
    <w:name w:val="Текст выноски Знак"/>
    <w:basedOn w:val="a0"/>
    <w:link w:val="aff1"/>
    <w:uiPriority w:val="99"/>
    <w:semiHidden/>
    <w:rPr>
      <w:rFonts w:ascii="Tahoma" w:hAnsi="Tahoma" w:cs="Tahoma"/>
      <w:sz w:val="16"/>
      <w:szCs w:val="16"/>
    </w:rPr>
  </w:style>
  <w:style w:type="paragraph" w:customStyle="1" w:styleId="s16">
    <w:name w:val="s_16"/>
    <w:basedOn w:val="a"/>
    <w:pPr>
      <w:widowControl/>
      <w:spacing w:before="100" w:beforeAutospacing="1" w:after="100" w:afterAutospacing="1"/>
      <w:ind w:firstLine="0"/>
      <w:jc w:val="left"/>
    </w:pPr>
    <w:rPr>
      <w:rFonts w:ascii="Times New Roman" w:eastAsia="Times New Roman" w:hAnsi="Times New Roman" w:cs="Times New Roman"/>
    </w:rPr>
  </w:style>
  <w:style w:type="character" w:styleId="aff3">
    <w:name w:val="Hyperlink"/>
    <w:basedOn w:val="a0"/>
    <w:uiPriority w:val="99"/>
    <w:unhideWhenUsed/>
    <w:rPr>
      <w:color w:val="0000FF"/>
      <w:u w:val="single"/>
    </w:rPr>
  </w:style>
  <w:style w:type="paragraph" w:customStyle="1" w:styleId="empty">
    <w:name w:val="empty"/>
    <w:basedOn w:val="a"/>
    <w:pPr>
      <w:widowControl/>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style>
  <w:style w:type="paragraph" w:customStyle="1" w:styleId="s1">
    <w:name w:val="s_1"/>
    <w:basedOn w:val="a"/>
    <w:pPr>
      <w:widowControl/>
      <w:spacing w:before="100" w:beforeAutospacing="1" w:after="100" w:afterAutospacing="1"/>
      <w:ind w:firstLine="0"/>
      <w:jc w:val="left"/>
    </w:pPr>
    <w:rPr>
      <w:rFonts w:ascii="Times New Roman" w:eastAsia="Times New Roman" w:hAnsi="Times New Roman" w:cs="Times New Roman"/>
    </w:rPr>
  </w:style>
  <w:style w:type="paragraph" w:customStyle="1" w:styleId="s3">
    <w:name w:val="s_3"/>
    <w:basedOn w:val="a"/>
    <w:pPr>
      <w:widowControl/>
      <w:spacing w:before="100" w:beforeAutospacing="1" w:after="100" w:afterAutospacing="1"/>
      <w:ind w:firstLine="0"/>
      <w:jc w:val="left"/>
    </w:pPr>
    <w:rPr>
      <w:rFonts w:ascii="Times New Roman" w:eastAsia="Times New Roman" w:hAnsi="Times New Roman" w:cs="Times New Roman"/>
    </w:rPr>
  </w:style>
  <w:style w:type="character" w:customStyle="1" w:styleId="FontStyle15">
    <w:name w:val="Font Style15"/>
    <w:basedOn w:val="a0"/>
    <w:uiPriority w:val="99"/>
    <w:rPr>
      <w:rFonts w:ascii="Times New Roman" w:hAnsi="Times New Roman" w:cs="Times New Roman"/>
      <w:sz w:val="24"/>
      <w:szCs w:val="24"/>
    </w:rPr>
  </w:style>
  <w:style w:type="paragraph" w:styleId="aff4">
    <w:name w:val="Body Text"/>
    <w:basedOn w:val="a"/>
    <w:link w:val="aff5"/>
    <w:uiPriority w:val="99"/>
    <w:unhideWhenUsed/>
    <w:pPr>
      <w:widowControl/>
      <w:spacing w:after="120"/>
      <w:ind w:firstLine="0"/>
      <w:jc w:val="left"/>
    </w:pPr>
    <w:rPr>
      <w:rFonts w:ascii="Times New Roman" w:eastAsia="Times New Roman" w:hAnsi="Times New Roman" w:cs="Times New Roman"/>
      <w:sz w:val="20"/>
      <w:szCs w:val="20"/>
    </w:rPr>
  </w:style>
  <w:style w:type="character" w:customStyle="1" w:styleId="aff5">
    <w:name w:val="Основной текст Знак"/>
    <w:basedOn w:val="a0"/>
    <w:link w:val="aff4"/>
    <w:uiPriority w:val="99"/>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77762/20001" TargetMode="External"/><Relationship Id="rId18" Type="http://schemas.openxmlformats.org/officeDocument/2006/relationships/hyperlink" Target="https://internet.garant.ru/document/redirect/12177762/20017" TargetMode="External"/><Relationship Id="rId26" Type="http://schemas.openxmlformats.org/officeDocument/2006/relationships/hyperlink" Target="https://internet.garant.ru/document/redirect/12177762/20001" TargetMode="External"/><Relationship Id="rId39" Type="http://schemas.openxmlformats.org/officeDocument/2006/relationships/header" Target="header1.xml"/><Relationship Id="rId21" Type="http://schemas.openxmlformats.org/officeDocument/2006/relationships/hyperlink" Target="https://internet.garant.ru/document/redirect/12177762/10103" TargetMode="External"/><Relationship Id="rId34" Type="http://schemas.openxmlformats.org/officeDocument/2006/relationships/hyperlink" Target="https://internet.garant.ru/document/redirect/12177762/1030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document/redirect/12177762/20010" TargetMode="External"/><Relationship Id="rId20" Type="http://schemas.openxmlformats.org/officeDocument/2006/relationships/hyperlink" Target="https://internet.garant.ru/document/redirect/12177762/10208" TargetMode="External"/><Relationship Id="rId29" Type="http://schemas.openxmlformats.org/officeDocument/2006/relationships/hyperlink" Target="https://internet.garant.ru/document/redirect/12177762/1050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77762/20001" TargetMode="External"/><Relationship Id="rId24" Type="http://schemas.openxmlformats.org/officeDocument/2006/relationships/hyperlink" Target="https://internet.garant.ru/document/redirect/12177762/20017" TargetMode="External"/><Relationship Id="rId32" Type="http://schemas.openxmlformats.org/officeDocument/2006/relationships/hyperlink" Target="https://internet.garant.ru/document/redirect/12177762/10108" TargetMode="External"/><Relationship Id="rId37" Type="http://schemas.openxmlformats.org/officeDocument/2006/relationships/hyperlink" Target="https://internet.garant.ru/document/redirect/12177762/1050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document/redirect/12177762/20008" TargetMode="External"/><Relationship Id="rId23" Type="http://schemas.openxmlformats.org/officeDocument/2006/relationships/hyperlink" Target="https://internet.garant.ru/document/redirect/12130224/0" TargetMode="External"/><Relationship Id="rId28" Type="http://schemas.openxmlformats.org/officeDocument/2006/relationships/hyperlink" Target="https://internet.garant.ru/document/redirect/12177762/10506" TargetMode="External"/><Relationship Id="rId36" Type="http://schemas.openxmlformats.org/officeDocument/2006/relationships/hyperlink" Target="https://internet.garant.ru/document/redirect/12177762/10405"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document/redirect/12177762/20001" TargetMode="External"/><Relationship Id="rId31" Type="http://schemas.openxmlformats.org/officeDocument/2006/relationships/hyperlink" Target="https://internet.garant.ru/document/redirect/12177762/1050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document/redirect/12177762/20007" TargetMode="External"/><Relationship Id="rId22" Type="http://schemas.openxmlformats.org/officeDocument/2006/relationships/hyperlink" Target="https://internet.garant.ru/document/redirect/12130224/1000" TargetMode="External"/><Relationship Id="rId27" Type="http://schemas.openxmlformats.org/officeDocument/2006/relationships/hyperlink" Target="https://internet.garant.ru/document/redirect/12177762/10207" TargetMode="External"/><Relationship Id="rId30" Type="http://schemas.openxmlformats.org/officeDocument/2006/relationships/hyperlink" Target="https://internet.garant.ru/document/redirect/12177762/10307" TargetMode="External"/><Relationship Id="rId35" Type="http://schemas.openxmlformats.org/officeDocument/2006/relationships/hyperlink" Target="https://internet.garant.ru/document/redirect/12177762/10507"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internet.garant.ru/document/redirect/12177762/20001" TargetMode="External"/><Relationship Id="rId17" Type="http://schemas.openxmlformats.org/officeDocument/2006/relationships/hyperlink" Target="https://internet.garant.ru/document/redirect/12177762/20017" TargetMode="External"/><Relationship Id="rId25" Type="http://schemas.openxmlformats.org/officeDocument/2006/relationships/hyperlink" Target="https://internet.garant.ru/document/redirect/12177762/20001" TargetMode="External"/><Relationship Id="rId33" Type="http://schemas.openxmlformats.org/officeDocument/2006/relationships/hyperlink" Target="https://internet.garant.ru/document/redirect/12177762/10207" TargetMode="External"/><Relationship Id="rId38" Type="http://schemas.openxmlformats.org/officeDocument/2006/relationships/hyperlink" Target="https://internet.garant.ru/document/redirect/12177762/10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F8774BC-E32C-4790-B39B-91741A85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Заведующий сектором пресс-службы</cp:lastModifiedBy>
  <cp:revision>3</cp:revision>
  <cp:lastPrinted>2024-01-11T05:20:00Z</cp:lastPrinted>
  <dcterms:created xsi:type="dcterms:W3CDTF">2024-01-19T09:52:00Z</dcterms:created>
  <dcterms:modified xsi:type="dcterms:W3CDTF">2024-01-25T10:43:00Z</dcterms:modified>
</cp:coreProperties>
</file>