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0" w:rsidRDefault="007D3578">
      <w:pPr>
        <w:ind w:left="4820"/>
        <w:jc w:val="center"/>
      </w:pPr>
      <w:bookmarkStart w:id="0" w:name="_GoBack"/>
      <w:bookmarkEnd w:id="0"/>
      <w:r>
        <w:t>УТВЕРЖДАЮ</w:t>
      </w:r>
    </w:p>
    <w:p w:rsidR="00BE53F0" w:rsidRDefault="007D3578">
      <w:pPr>
        <w:ind w:left="4820"/>
        <w:jc w:val="both"/>
      </w:pPr>
      <w:r>
        <w:t xml:space="preserve">Руководитель Государственной ветеринарной службы Чувашской Республики </w:t>
      </w:r>
    </w:p>
    <w:p w:rsidR="00BE53F0" w:rsidRDefault="00BE53F0">
      <w:pPr>
        <w:ind w:left="4820"/>
      </w:pPr>
    </w:p>
    <w:p w:rsidR="00BE53F0" w:rsidRDefault="007D3578">
      <w:pPr>
        <w:ind w:left="4820"/>
        <w:jc w:val="both"/>
        <w:rPr>
          <w:u w:val="single"/>
        </w:rPr>
      </w:pPr>
      <w:r>
        <w:t xml:space="preserve">____________             </w:t>
      </w:r>
      <w:r>
        <w:rPr>
          <w:u w:val="single"/>
        </w:rPr>
        <w:t>А.В. Шакин</w:t>
      </w:r>
    </w:p>
    <w:p w:rsidR="00BE53F0" w:rsidRDefault="007D3578">
      <w:pPr>
        <w:ind w:left="4820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(подпись)                  (инициалы, фамилия)</w:t>
      </w:r>
    </w:p>
    <w:p w:rsidR="00BE53F0" w:rsidRDefault="00BE53F0">
      <w:pPr>
        <w:ind w:left="4820"/>
      </w:pPr>
    </w:p>
    <w:p w:rsidR="00BE53F0" w:rsidRDefault="007D3578">
      <w:pPr>
        <w:ind w:left="4820"/>
        <w:jc w:val="both"/>
        <w:rPr>
          <w:sz w:val="26"/>
          <w:szCs w:val="26"/>
        </w:rPr>
      </w:pPr>
      <w:r>
        <w:t>___   _____________ 2024 г.</w:t>
      </w:r>
    </w:p>
    <w:p w:rsidR="00BE53F0" w:rsidRDefault="00BE53F0">
      <w:pPr>
        <w:ind w:firstLine="708"/>
        <w:jc w:val="both"/>
        <w:rPr>
          <w:sz w:val="26"/>
          <w:szCs w:val="26"/>
        </w:rPr>
      </w:pPr>
    </w:p>
    <w:p w:rsidR="00BE53F0" w:rsidRDefault="00BE53F0">
      <w:pPr>
        <w:jc w:val="center"/>
        <w:rPr>
          <w:b/>
          <w:sz w:val="26"/>
          <w:szCs w:val="26"/>
        </w:rPr>
      </w:pPr>
    </w:p>
    <w:p w:rsidR="00BE53F0" w:rsidRDefault="007D35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ДОЛЖНОСТНОЙ РЕГЛАМЕНТ</w:t>
      </w:r>
    </w:p>
    <w:p w:rsidR="00BE53F0" w:rsidRDefault="007D35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государственного гражданского служащего Чувашской Республики,</w:t>
      </w:r>
    </w:p>
    <w:p w:rsidR="00BE53F0" w:rsidRDefault="007D357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замещающего</w:t>
      </w:r>
      <w:proofErr w:type="gramEnd"/>
      <w:r>
        <w:rPr>
          <w:b/>
          <w:sz w:val="26"/>
          <w:szCs w:val="26"/>
        </w:rPr>
        <w:t xml:space="preserve"> должность</w:t>
      </w:r>
    </w:p>
    <w:p w:rsidR="00BE53F0" w:rsidRDefault="007D3578">
      <w:pPr>
        <w:jc w:val="center"/>
        <w:rPr>
          <w:sz w:val="22"/>
          <w:szCs w:val="22"/>
        </w:rPr>
      </w:pPr>
      <w:r>
        <w:rPr>
          <w:b/>
          <w:sz w:val="26"/>
          <w:szCs w:val="26"/>
        </w:rPr>
        <w:t xml:space="preserve">консультанта сектора государственного надзора в области обращения с животными отдела правового обеспечения Государственной ветеринарной службы Чувашской Республики </w:t>
      </w:r>
    </w:p>
    <w:p w:rsidR="00BE53F0" w:rsidRDefault="00BE53F0">
      <w:pPr>
        <w:ind w:firstLine="708"/>
        <w:jc w:val="both"/>
        <w:rPr>
          <w:sz w:val="26"/>
          <w:szCs w:val="26"/>
        </w:rPr>
      </w:pPr>
    </w:p>
    <w:p w:rsidR="00BE53F0" w:rsidRDefault="007D35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</w:t>
      </w:r>
      <w:r>
        <w:rPr>
          <w:b/>
          <w:sz w:val="26"/>
          <w:szCs w:val="26"/>
        </w:rPr>
        <w:t>ие положения</w:t>
      </w:r>
    </w:p>
    <w:p w:rsidR="00BE53F0" w:rsidRDefault="00BE53F0">
      <w:pPr>
        <w:ind w:firstLine="708"/>
        <w:jc w:val="both"/>
        <w:rPr>
          <w:sz w:val="26"/>
          <w:szCs w:val="26"/>
        </w:rPr>
      </w:pPr>
    </w:p>
    <w:p w:rsidR="00BE53F0" w:rsidRDefault="007D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Должность государственной гражданской </w:t>
      </w:r>
      <w:proofErr w:type="gramStart"/>
      <w:r>
        <w:rPr>
          <w:sz w:val="26"/>
          <w:szCs w:val="26"/>
        </w:rPr>
        <w:t>службы Чувашской Республики консультанта сектора государственного надзора</w:t>
      </w:r>
      <w:proofErr w:type="gramEnd"/>
      <w:r>
        <w:rPr>
          <w:sz w:val="26"/>
          <w:szCs w:val="26"/>
        </w:rPr>
        <w:t xml:space="preserve"> в области обращения с животными отдела правового обеспечения Государственной ветеринарной службы Чувашской Республики относится</w:t>
      </w:r>
      <w:r>
        <w:rPr>
          <w:sz w:val="26"/>
          <w:szCs w:val="26"/>
        </w:rPr>
        <w:t xml:space="preserve"> к ведущей группе должностей государственной гражданской службы Чувашской Республики (далее соответственно – должность, гражданская служба, Служба) категории  «специалисты».</w:t>
      </w:r>
    </w:p>
    <w:p w:rsidR="00BE53F0" w:rsidRDefault="007D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(код) должности – </w:t>
      </w:r>
      <w:r>
        <w:t>3-3-3-18</w:t>
      </w:r>
    </w:p>
    <w:p w:rsidR="00BE53F0" w:rsidRDefault="007D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Область профессиональной служе</w:t>
      </w:r>
      <w:r>
        <w:rPr>
          <w:sz w:val="26"/>
          <w:szCs w:val="26"/>
        </w:rPr>
        <w:t xml:space="preserve">бной деятельности: </w:t>
      </w:r>
    </w:p>
    <w:p w:rsidR="00BE53F0" w:rsidRDefault="007D3578">
      <w:pPr>
        <w:ind w:firstLine="709"/>
        <w:jc w:val="both"/>
        <w:rPr>
          <w:rFonts w:eastAsia="Calibri"/>
        </w:rPr>
      </w:pPr>
      <w:r>
        <w:rPr>
          <w:rFonts w:eastAsia="Calibri"/>
        </w:rPr>
        <w:t>регулирование сельского хозяйства и ветеринарии;</w:t>
      </w:r>
    </w:p>
    <w:p w:rsidR="00BE53F0" w:rsidRDefault="007D3578">
      <w:pPr>
        <w:ind w:firstLine="709"/>
        <w:jc w:val="both"/>
        <w:rPr>
          <w:sz w:val="26"/>
          <w:szCs w:val="26"/>
        </w:rPr>
      </w:pPr>
      <w:r>
        <w:rPr>
          <w:rFonts w:eastAsia="Calibri"/>
        </w:rPr>
        <w:t>управление в сфере юстиции.</w:t>
      </w:r>
    </w:p>
    <w:p w:rsidR="00BE53F0" w:rsidRDefault="007D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профессиональной служебной деятельности:  </w:t>
      </w:r>
    </w:p>
    <w:p w:rsidR="00BE53F0" w:rsidRDefault="007D3578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деятельность в сфере уголовного, административного и процессуального законодательства (детализация вида - дея</w:t>
      </w:r>
      <w:r>
        <w:rPr>
          <w:rFonts w:eastAsia="Calibri"/>
        </w:rPr>
        <w:t>тельность в сфере антикоррупционного законодательства и организации антикоррупционной экспертизы).</w:t>
      </w:r>
    </w:p>
    <w:p w:rsidR="00BE53F0" w:rsidRDefault="007D3578">
      <w:pPr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>4. Назначение на должность и освобождение от должности осуществляются руководителем Государственной ветеринарной службы Чувашской Республи</w:t>
      </w:r>
      <w:r>
        <w:rPr>
          <w:sz w:val="26"/>
          <w:szCs w:val="26"/>
        </w:rPr>
        <w:t>ки или лицом, исполняющим его обязанности (далее – руководитель Службы).</w:t>
      </w:r>
    </w:p>
    <w:p w:rsidR="00BE53F0" w:rsidRDefault="007D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Консультант сектора государственного надзора в области обращения с животными отдела правового обеспечения  (далее – консультант) непосредственно подчиняется заведующему сектором </w:t>
      </w:r>
      <w:r>
        <w:t>го</w:t>
      </w:r>
      <w:r>
        <w:t>сударственного надзора в области обращения отдела правового обеспечения с животными (далее – заведующий сектором)</w:t>
      </w:r>
      <w:r>
        <w:rPr>
          <w:sz w:val="26"/>
          <w:szCs w:val="26"/>
        </w:rPr>
        <w:t>.</w:t>
      </w:r>
    </w:p>
    <w:p w:rsidR="00BE53F0" w:rsidRDefault="007D3578">
      <w:pPr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>6. В период отсутствия консультанта отдела его должностные обязанности распределяются заведующим сектором между работниками сектора.</w:t>
      </w:r>
    </w:p>
    <w:p w:rsidR="00BE53F0" w:rsidRDefault="00BE53F0">
      <w:pPr>
        <w:ind w:firstLine="709"/>
        <w:jc w:val="both"/>
        <w:rPr>
          <w:sz w:val="26"/>
          <w:szCs w:val="26"/>
        </w:rPr>
      </w:pPr>
    </w:p>
    <w:p w:rsidR="00BE53F0" w:rsidRDefault="00BE53F0">
      <w:pPr>
        <w:jc w:val="center"/>
        <w:rPr>
          <w:b/>
          <w:sz w:val="26"/>
          <w:szCs w:val="26"/>
        </w:rPr>
      </w:pPr>
    </w:p>
    <w:p w:rsidR="00BE53F0" w:rsidRDefault="007D357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II. Кв</w:t>
      </w:r>
      <w:r>
        <w:rPr>
          <w:b/>
          <w:sz w:val="26"/>
          <w:szCs w:val="26"/>
        </w:rPr>
        <w:t xml:space="preserve">алификационные требования к уровню профессионального образования, стажу гражданской службы или работы по специальности, </w:t>
      </w:r>
      <w:r>
        <w:rPr>
          <w:b/>
          <w:sz w:val="26"/>
          <w:szCs w:val="26"/>
        </w:rPr>
        <w:lastRenderedPageBreak/>
        <w:t>направлению подготовки, профессиональному уровню, а также при наличии соответствующего решения представителя нанимателя – к специальност</w:t>
      </w:r>
      <w:r>
        <w:rPr>
          <w:b/>
          <w:sz w:val="26"/>
          <w:szCs w:val="26"/>
        </w:rPr>
        <w:t>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BE53F0" w:rsidRDefault="00BE53F0">
      <w:pPr>
        <w:ind w:firstLine="709"/>
        <w:jc w:val="center"/>
        <w:rPr>
          <w:sz w:val="26"/>
          <w:szCs w:val="26"/>
        </w:rPr>
      </w:pP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Для замещения должности консультанта</w:t>
      </w:r>
      <w:r>
        <w:rPr>
          <w:sz w:val="26"/>
          <w:szCs w:val="26"/>
        </w:rPr>
        <w:t xml:space="preserve"> устанавливаются  следующие квалификационные требования: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color w:val="262626"/>
          <w:sz w:val="26"/>
          <w:szCs w:val="26"/>
        </w:rPr>
        <w:t>Гражданский служащий, замещающий должность консультанта, должен иметь высшее образование.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к стажу гражданской службы или работы по специальности, направле</w:t>
      </w:r>
      <w:r>
        <w:rPr>
          <w:sz w:val="26"/>
          <w:szCs w:val="26"/>
        </w:rPr>
        <w:t>нию подготовки требования не устанавливаются;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профессиональный уровень: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-наличие базовых знаний: 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знанием государственного языка Российской Федерации (русского языка);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знаниями основ: 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Конституции Российской Федерации; 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федеральных законов «О системе го</w:t>
      </w:r>
      <w:r>
        <w:rPr>
          <w:sz w:val="26"/>
          <w:szCs w:val="26"/>
        </w:rPr>
        <w:t>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BE53F0" w:rsidRDefault="007D3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знаниями и умениями в области информационно-коммуникационных технологий;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наличие профессиональных знаний в сфере закон</w:t>
      </w:r>
      <w:r>
        <w:rPr>
          <w:sz w:val="26"/>
          <w:szCs w:val="26"/>
        </w:rPr>
        <w:t>одательства Российской Федерации и законодательства Чувашской Республики: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Кабинета Министров Чувашской Республики от 11 февраля 2005 г</w:t>
      </w:r>
      <w:r>
        <w:rPr>
          <w:sz w:val="26"/>
          <w:szCs w:val="26"/>
        </w:rPr>
        <w:t>. № 30 «Вопросы Государственной ветеринарной службы Чувашской Республики»;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</w:t>
      </w:r>
      <w:r>
        <w:rPr>
          <w:sz w:val="26"/>
          <w:szCs w:val="26"/>
        </w:rPr>
        <w:t>власти Чувашской Республики»;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Кабинета Министров Чувашской Республики от 26 декабря 2012 г. № 596 «Об утверждении Положения об особенностях подачи и рассмотрения жалоб на решения и действия (бездействие) органов исполнительной власти Чувашско</w:t>
      </w:r>
      <w:r>
        <w:rPr>
          <w:sz w:val="26"/>
          <w:szCs w:val="26"/>
        </w:rPr>
        <w:t>й Республики и их должностных лиц, государственных гражданских служащих органов исполнительной власти Чувашской Республики при предоставлении государственных услуг»;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приказ Государственной ветеринарной службы Чувашской Республики от 2 октября 2012 г. № 211</w:t>
      </w:r>
      <w:r>
        <w:rPr>
          <w:sz w:val="26"/>
          <w:szCs w:val="26"/>
        </w:rPr>
        <w:t xml:space="preserve"> «Об утверждении служебного распорядка Государственной ветеринарной службы Чувашской Республики» (зарегистрирован в Министерстве юстиции Чувашской Республики 23 октября 2012 г., регистрационный № 1323);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иные нормативные правовые акты по направлению деятель</w:t>
      </w:r>
      <w:r>
        <w:rPr>
          <w:sz w:val="26"/>
          <w:szCs w:val="26"/>
        </w:rPr>
        <w:t>ности сектора;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наличие иных профессиональных знаний:</w:t>
      </w:r>
    </w:p>
    <w:p w:rsidR="00BE53F0" w:rsidRDefault="007D3578">
      <w:pPr>
        <w:ind w:firstLine="709"/>
        <w:jc w:val="both"/>
      </w:pPr>
      <w:r>
        <w:rPr>
          <w:sz w:val="26"/>
          <w:szCs w:val="26"/>
        </w:rPr>
        <w:lastRenderedPageBreak/>
        <w:t>знание принципов защиты прав юридических лиц, индивидуальных предпринимателей, граждан при осуществлении государственного контроля (надзора) в области обращения с животными;</w:t>
      </w:r>
    </w:p>
    <w:p w:rsidR="00BE53F0" w:rsidRDefault="007D3578">
      <w:pPr>
        <w:ind w:firstLine="709"/>
        <w:jc w:val="both"/>
      </w:pPr>
      <w:r>
        <w:rPr>
          <w:sz w:val="26"/>
          <w:szCs w:val="26"/>
        </w:rPr>
        <w:t>знание вопросов организации и проведения мероприятий, направленных на профилактику нарушений обязательных требований;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знание прав и обязанностей должностных лиц органов государственного надзора в области обращения с животными;</w:t>
      </w:r>
    </w:p>
    <w:p w:rsidR="00BE53F0" w:rsidRDefault="007D3578">
      <w:pPr>
        <w:ind w:firstLine="709"/>
        <w:jc w:val="both"/>
      </w:pPr>
      <w:r>
        <w:rPr>
          <w:sz w:val="26"/>
          <w:szCs w:val="26"/>
        </w:rPr>
        <w:t>знание требований ветеринарны</w:t>
      </w:r>
      <w:r>
        <w:rPr>
          <w:sz w:val="26"/>
          <w:szCs w:val="26"/>
        </w:rPr>
        <w:t xml:space="preserve">х правил (правил в области ветеринарии). 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умение мыслить стратегически (системно);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умения;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умение управлять изменениями;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наличие профессиональных умений: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умением составлять протоколы об административных правонарушениях, вести деловую переписку, ответы на обращения граждан и организаций;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наличие функциональных умений: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умением подготовить аналитические, информационные и другие материалы;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умением проведения</w:t>
      </w:r>
      <w:r>
        <w:rPr>
          <w:sz w:val="26"/>
          <w:szCs w:val="26"/>
        </w:rPr>
        <w:t xml:space="preserve"> консультаций;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умением проводить плановые (внеплановые) проверки по контролю (надзору) в области обращения с животными и иные контрольные (надзорные) мероприятия.</w:t>
      </w:r>
    </w:p>
    <w:p w:rsidR="00BE53F0" w:rsidRDefault="00BE53F0">
      <w:pPr>
        <w:spacing w:line="247" w:lineRule="auto"/>
        <w:jc w:val="center"/>
        <w:rPr>
          <w:sz w:val="22"/>
          <w:szCs w:val="22"/>
        </w:rPr>
      </w:pPr>
    </w:p>
    <w:p w:rsidR="00BE53F0" w:rsidRDefault="007D3578">
      <w:pPr>
        <w:spacing w:line="247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Должностные обязанности, права и ответственность</w:t>
      </w:r>
    </w:p>
    <w:p w:rsidR="00BE53F0" w:rsidRDefault="00BE53F0">
      <w:pPr>
        <w:spacing w:line="247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Основные права и обязанности консу</w:t>
      </w:r>
      <w:r>
        <w:rPr>
          <w:sz w:val="26"/>
          <w:szCs w:val="26"/>
        </w:rPr>
        <w:t>льтанта, а также ограничения, запреты и требования к служебному поведению, установленные статьями 14–18, 20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</w:t>
      </w:r>
      <w:r>
        <w:rPr>
          <w:sz w:val="26"/>
          <w:szCs w:val="26"/>
        </w:rPr>
        <w:t xml:space="preserve"> службе).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консультант: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исполняет приказы, распоряжения, указания и поручения руководителя Службы, поручения заведующего сектором, отданные в пределах их должностных полномочий, за исключением незаконных;</w:t>
      </w:r>
    </w:p>
    <w:p w:rsidR="00BE53F0" w:rsidRDefault="007D3578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  <w:sz w:val="26"/>
          <w:szCs w:val="26"/>
        </w:rPr>
        <w:t>осуществляет государственный надзор в области обращения с животными в Чувашской Республике в порядке, определяемом в соответствии с законодательством Российской Федерации и законодательством Чувашской Республики;</w:t>
      </w:r>
    </w:p>
    <w:p w:rsidR="00BE53F0" w:rsidRDefault="007D357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осуществляет производство по делам об админ</w:t>
      </w:r>
      <w:r>
        <w:rPr>
          <w:rFonts w:eastAsia="Calibri"/>
          <w:sz w:val="26"/>
          <w:szCs w:val="26"/>
        </w:rPr>
        <w:t>истративных правонарушениях в порядке, установленном законодательством об административных правонарушениях;</w:t>
      </w:r>
    </w:p>
    <w:p w:rsidR="00BE53F0" w:rsidRDefault="007D357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 поручению заведующего сектором подготавливает и представляет </w:t>
      </w:r>
      <w:proofErr w:type="gramStart"/>
      <w:r>
        <w:rPr>
          <w:rFonts w:eastAsia="Calibri"/>
          <w:sz w:val="26"/>
          <w:szCs w:val="26"/>
        </w:rPr>
        <w:t>в установленном порядке доклад об осуществлении государстве</w:t>
      </w:r>
      <w:r>
        <w:rPr>
          <w:rFonts w:eastAsia="Calibri"/>
          <w:sz w:val="26"/>
          <w:szCs w:val="26"/>
        </w:rPr>
        <w:t>нного надзора в области обращения с животными в Чувашской Республике</w:t>
      </w:r>
      <w:proofErr w:type="gramEnd"/>
      <w:r>
        <w:rPr>
          <w:rFonts w:eastAsia="Calibri"/>
          <w:sz w:val="26"/>
          <w:szCs w:val="26"/>
        </w:rPr>
        <w:t>;</w:t>
      </w:r>
    </w:p>
    <w:p w:rsidR="00BE53F0" w:rsidRDefault="007D3578">
      <w:pPr>
        <w:tabs>
          <w:tab w:val="left" w:pos="709"/>
        </w:tabs>
        <w:ind w:firstLine="709"/>
        <w:jc w:val="both"/>
      </w:pPr>
      <w:r>
        <w:rPr>
          <w:rFonts w:eastAsia="Calibri"/>
          <w:sz w:val="26"/>
          <w:szCs w:val="26"/>
        </w:rPr>
        <w:t>по поручению заведующего сектором осуществляет</w:t>
      </w:r>
      <w:r>
        <w:rPr>
          <w:sz w:val="26"/>
          <w:szCs w:val="26"/>
        </w:rPr>
        <w:t xml:space="preserve"> работу по проведению мониторинга эффективности государственного надзора в области </w:t>
      </w:r>
      <w:r>
        <w:rPr>
          <w:sz w:val="26"/>
          <w:szCs w:val="26"/>
        </w:rPr>
        <w:lastRenderedPageBreak/>
        <w:t>обращения с животными в Чувашской Республике, учету резул</w:t>
      </w:r>
      <w:r>
        <w:rPr>
          <w:sz w:val="26"/>
          <w:szCs w:val="26"/>
        </w:rPr>
        <w:t>ьтатов проводимых проверок и необходимой отчетности;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осуществляет внесение информации в единый реестр проверок в соответствии с законодательством Российской Федерации;</w:t>
      </w:r>
    </w:p>
    <w:p w:rsidR="00BE53F0" w:rsidRDefault="007D3578">
      <w:pPr>
        <w:ind w:firstLine="708"/>
        <w:jc w:val="both"/>
      </w:pPr>
      <w:proofErr w:type="gramStart"/>
      <w:r>
        <w:rPr>
          <w:sz w:val="26"/>
          <w:szCs w:val="26"/>
        </w:rPr>
        <w:t>по поручению заведующего сектором контролирует осуществление органами местного самоуправ</w:t>
      </w:r>
      <w:r>
        <w:rPr>
          <w:sz w:val="26"/>
          <w:szCs w:val="26"/>
        </w:rPr>
        <w:t>ления переданных государственных полномочий Чувашской Республики по организации на территории городских и муниципальных округов мероприятий при осуществлении деятельности по обращению с животными без владельцев, в том числе путем организации разъяснительно</w:t>
      </w:r>
      <w:r>
        <w:rPr>
          <w:sz w:val="26"/>
          <w:szCs w:val="26"/>
        </w:rPr>
        <w:t>й работы (издание рекомендаций, консультирование) с органами местного самоуправления, а также проведения плановых и внеплановых проверок осуществления органами местного самоуправления государственных полномочий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>, установленном приказом Службы;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при</w:t>
      </w:r>
      <w:r>
        <w:rPr>
          <w:sz w:val="26"/>
          <w:szCs w:val="26"/>
        </w:rPr>
        <w:t>нимает участие в реализации федеральных мероприятий на территории Чувашской Республики;</w:t>
      </w:r>
    </w:p>
    <w:p w:rsidR="00BE53F0" w:rsidRDefault="007D3578">
      <w:pPr>
        <w:ind w:firstLine="708"/>
        <w:jc w:val="both"/>
      </w:pPr>
      <w:proofErr w:type="gramStart"/>
      <w:r>
        <w:rPr>
          <w:sz w:val="26"/>
          <w:szCs w:val="26"/>
        </w:rPr>
        <w:t>участвует в реализации полномочий Российской Федерации в области ветеринарии, переданных для осуществления органам государственной власти субъектов Российской Федерации</w:t>
      </w:r>
      <w:r>
        <w:rPr>
          <w:sz w:val="26"/>
          <w:szCs w:val="26"/>
        </w:rPr>
        <w:t>, по установлению и отмене ограничительных мероприятий (карантина) на территории Чувашской Республики, в том числе в случае необходимости принятия решения об изъятии животных и (или) продуктов животноводства при ликвидации очагов особо опасных болезней жив</w:t>
      </w:r>
      <w:r>
        <w:rPr>
          <w:sz w:val="26"/>
          <w:szCs w:val="26"/>
        </w:rPr>
        <w:t>отных на территории Чувашской Республики готовит проект указанного решения совместно</w:t>
      </w:r>
      <w:proofErr w:type="gramEnd"/>
      <w:r>
        <w:rPr>
          <w:sz w:val="26"/>
          <w:szCs w:val="26"/>
        </w:rPr>
        <w:t xml:space="preserve"> с отделом планирования, имущественных отношений и организационной работы, обеспечивает его согласование с заинтересованными органами и организациями, обеспечивает представ</w:t>
      </w:r>
      <w:r>
        <w:rPr>
          <w:sz w:val="26"/>
          <w:szCs w:val="26"/>
        </w:rPr>
        <w:t>ление указанного проекта решения с необходимыми документами в Администрацию Главы Чувашской Республики в установленном порядке;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участвует в разработке методических рекомендаций по направлению деятельности Сектора для деятельности подведомственных Службе уч</w:t>
      </w:r>
      <w:r>
        <w:rPr>
          <w:sz w:val="26"/>
          <w:szCs w:val="26"/>
        </w:rPr>
        <w:t>реждений, а также иных органов и организаций;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по поручению заведующего сектором ведет в установленном порядке реестры, необходимые для работы Сектора, содержит в актуальном состоянии указанные реестры, в необходимых случаях обеспечивает совместно с отделом</w:t>
      </w:r>
      <w:r>
        <w:rPr>
          <w:sz w:val="26"/>
          <w:szCs w:val="26"/>
        </w:rPr>
        <w:t xml:space="preserve"> планирования, имущественных отношений и организационной работы Службы размещение информации об указанных реестрах на официальном сайте Службы в информационно-телекоммуникационной сети «Интернет»; 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по поручению заведующего сектором готовит ответы на поступ</w:t>
      </w:r>
      <w:r>
        <w:rPr>
          <w:sz w:val="26"/>
          <w:szCs w:val="26"/>
        </w:rPr>
        <w:t xml:space="preserve">ившие в Службу обращения граждан и организаций по направлению деятельности сектора; 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по поручению заведующего сектором участвует в исполнении поручений, содержащихся в актах Президента Российской Федерации, Главы Чувашской Республики, Кабинета Министров Чу</w:t>
      </w:r>
      <w:r>
        <w:rPr>
          <w:sz w:val="26"/>
          <w:szCs w:val="26"/>
        </w:rPr>
        <w:t>вашской Республики и протоколах заседаний Кабинета Министров Чувашской Республики, а также поручений Главы Чувашской Республики, Председателя Кабинета Министров Чувашской Республики, руководства Службы, протокольных поручений Коллегии Службы, иных протокол</w:t>
      </w:r>
      <w:r>
        <w:rPr>
          <w:sz w:val="26"/>
          <w:szCs w:val="26"/>
        </w:rPr>
        <w:t>ьных поручений;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 xml:space="preserve">участвует по поручению заведующего сектором в рассмотрении представлений надзорных органов; 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по поручению заведующего сектором подготавливает информацию для составления пресс-релизов для средств массовой информации и для размещения на сайте</w:t>
      </w:r>
      <w:r>
        <w:rPr>
          <w:sz w:val="26"/>
          <w:szCs w:val="26"/>
        </w:rPr>
        <w:t xml:space="preserve"> Службы в информационно-телекоммуникационной сети «Интернет» о деятельности сектора;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осуществляет меры по защите информации в соответствии с законодательством Российской Федерации;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>взаимодействует с правоохранительными органами в установленной сфере деятел</w:t>
      </w:r>
      <w:r>
        <w:rPr>
          <w:sz w:val="26"/>
          <w:szCs w:val="26"/>
        </w:rPr>
        <w:t>ьности;</w:t>
      </w:r>
    </w:p>
    <w:p w:rsidR="00BE53F0" w:rsidRDefault="007D3578">
      <w:pPr>
        <w:ind w:firstLine="708"/>
        <w:jc w:val="both"/>
      </w:pPr>
      <w:r>
        <w:rPr>
          <w:sz w:val="26"/>
          <w:szCs w:val="26"/>
        </w:rPr>
        <w:t xml:space="preserve">проводит консультирование и разъяснительную работу по вопросам, относящимся к компетенции сектора; </w:t>
      </w:r>
    </w:p>
    <w:p w:rsidR="00BE53F0" w:rsidRDefault="007D3578">
      <w:pPr>
        <w:ind w:firstLine="720"/>
        <w:jc w:val="both"/>
      </w:pPr>
      <w:r>
        <w:rPr>
          <w:sz w:val="26"/>
          <w:szCs w:val="26"/>
        </w:rPr>
        <w:t>свою работу с документами осуществляет в соответствии с Инструкцией по делопроизводству в Службе, а также иными нормативными актами;</w:t>
      </w:r>
    </w:p>
    <w:p w:rsidR="00BE53F0" w:rsidRDefault="007D3578">
      <w:pPr>
        <w:ind w:firstLine="720"/>
        <w:jc w:val="both"/>
      </w:pPr>
      <w:r>
        <w:rPr>
          <w:sz w:val="26"/>
          <w:szCs w:val="26"/>
        </w:rPr>
        <w:t>соблюдает прави</w:t>
      </w:r>
      <w:r>
        <w:rPr>
          <w:sz w:val="26"/>
          <w:szCs w:val="26"/>
        </w:rPr>
        <w:t>ла техники безопасности и охраны труда, противопожарной защиты и санитарии;</w:t>
      </w:r>
    </w:p>
    <w:p w:rsidR="00BE53F0" w:rsidRDefault="007D3578">
      <w:pPr>
        <w:ind w:firstLine="720"/>
        <w:jc w:val="both"/>
      </w:pPr>
      <w:r>
        <w:rPr>
          <w:sz w:val="26"/>
          <w:szCs w:val="26"/>
        </w:rPr>
        <w:t xml:space="preserve">по поручению заведующего сектором принимает участие в реализации иных функций </w:t>
      </w:r>
      <w:proofErr w:type="gramStart"/>
      <w:r>
        <w:rPr>
          <w:sz w:val="26"/>
          <w:szCs w:val="26"/>
        </w:rPr>
        <w:t>Службы</w:t>
      </w:r>
      <w:proofErr w:type="gramEnd"/>
      <w:r>
        <w:rPr>
          <w:sz w:val="26"/>
          <w:szCs w:val="26"/>
        </w:rPr>
        <w:t xml:space="preserve"> в рамках возложенных на сектор полномочий, осуществляет иные обязанности, которые определенны а</w:t>
      </w:r>
      <w:r>
        <w:rPr>
          <w:sz w:val="26"/>
          <w:szCs w:val="26"/>
        </w:rPr>
        <w:t xml:space="preserve">дминистративными регламентами Службы по исполнению государственных функций и предоставлению государственных услуг, законодательством Российской Федерации и законодательством Чувашской Республики, приказами (распоряжениями) Службы и поручениями руководства </w:t>
      </w:r>
      <w:r>
        <w:rPr>
          <w:sz w:val="26"/>
          <w:szCs w:val="26"/>
        </w:rPr>
        <w:t>Службы.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Для исполнения возложенных на консультанта обязанностей он также вправе: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в установленном порядке от других структурных подразделений Службы, у министерств и иных органов исполнительной власти Чувашской Республики, террито</w:t>
      </w:r>
      <w:r>
        <w:rPr>
          <w:sz w:val="26"/>
          <w:szCs w:val="26"/>
        </w:rPr>
        <w:t>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сектора;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в установле</w:t>
      </w:r>
      <w:r>
        <w:rPr>
          <w:sz w:val="26"/>
          <w:szCs w:val="26"/>
        </w:rPr>
        <w:t xml:space="preserve">нном порядке от подведомственных Службе организаций информацию и материалы, необходимые для исполнения должностных  обязанностей; 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вносить в установленном порядке предложения по совершенствованию работы сектора и Службы в целом;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принимать участие в обсужде</w:t>
      </w:r>
      <w:r>
        <w:rPr>
          <w:sz w:val="26"/>
          <w:szCs w:val="26"/>
        </w:rPr>
        <w:t>нии вопросов и подготовке проектов документов, касающихся работы сектора, а также совершенствовании форм и методов работы с ними;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посещать в установленном порядке для исполнения должностных обязанностей подведомственные Службе организации.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Консультант </w:t>
      </w:r>
      <w:r>
        <w:rPr>
          <w:sz w:val="26"/>
          <w:szCs w:val="26"/>
        </w:rPr>
        <w:t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Службы и поручениями заведующего сектором и руководителя Службы.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11.1. Консультант обязан изуч</w:t>
      </w:r>
      <w:r>
        <w:rPr>
          <w:sz w:val="26"/>
          <w:szCs w:val="26"/>
        </w:rPr>
        <w:t>ать и использовать при исполнении должностных обязанностей: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и умения работы в системе управления проектом «Эффективный регион»;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знания </w:t>
      </w:r>
      <w:proofErr w:type="gramStart"/>
      <w:r>
        <w:rPr>
          <w:sz w:val="26"/>
          <w:szCs w:val="26"/>
        </w:rPr>
        <w:t>положений постановления Кабинета Министров Чувашской Республики</w:t>
      </w:r>
      <w:proofErr w:type="gramEnd"/>
      <w:r>
        <w:rPr>
          <w:sz w:val="26"/>
          <w:szCs w:val="26"/>
        </w:rPr>
        <w:t xml:space="preserve"> от 8 июня 2022 г. № 262 «О системе бережливого</w:t>
      </w:r>
      <w:r>
        <w:rPr>
          <w:sz w:val="26"/>
          <w:szCs w:val="26"/>
        </w:rPr>
        <w:t xml:space="preserve">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стадий реализации оптимизационных проектов с использованием инструментов бережливых технологий (далее - проект), пр</w:t>
      </w:r>
      <w:r>
        <w:rPr>
          <w:sz w:val="26"/>
          <w:szCs w:val="26"/>
        </w:rPr>
        <w:t>едусмотренных постановлением № 262, основных методов и инструментов бережливого производства;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</w:t>
      </w:r>
      <w:r>
        <w:rPr>
          <w:sz w:val="26"/>
          <w:szCs w:val="26"/>
        </w:rPr>
        <w:t>ации проекта в соответствии с постановлением № 262;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>
        <w:rPr>
          <w:sz w:val="26"/>
          <w:szCs w:val="26"/>
        </w:rPr>
        <w:t>Госкорпорации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>»;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понятия ценности для потреб</w:t>
      </w:r>
      <w:r>
        <w:rPr>
          <w:sz w:val="26"/>
          <w:szCs w:val="26"/>
        </w:rPr>
        <w:t>ителя, потока создания ценности, отличия деятельности создающей и не создающей ценности;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видов потерь, умения выявления их в своей работе;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понятия, необходимости совершенствования потока создания ценности с точки зрения сокращения всех ви</w:t>
      </w:r>
      <w:r>
        <w:rPr>
          <w:sz w:val="26"/>
          <w:szCs w:val="26"/>
        </w:rPr>
        <w:t>дов потерь;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BE53F0" w:rsidRDefault="007D3578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знания назначения и формирования предложений по улучшениям.</w:t>
      </w:r>
    </w:p>
    <w:p w:rsidR="00BE53F0" w:rsidRDefault="007D3578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Консультант </w:t>
      </w:r>
      <w:r>
        <w:rPr>
          <w:sz w:val="26"/>
          <w:szCs w:val="26"/>
        </w:rPr>
        <w:t>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BE53F0" w:rsidRDefault="00BE53F0">
      <w:pPr>
        <w:spacing w:line="23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3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IV. Перечень вопро</w:t>
      </w:r>
      <w:r>
        <w:rPr>
          <w:b/>
          <w:sz w:val="26"/>
          <w:szCs w:val="26"/>
        </w:rPr>
        <w:t>сов, по которым гражданский служащий обязан или вправе самостоятельно принимать управленческие и иные решения</w:t>
      </w:r>
    </w:p>
    <w:p w:rsidR="00BE53F0" w:rsidRDefault="00BE53F0">
      <w:pPr>
        <w:spacing w:line="23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 При исполнении должностных обязанностей консультант обязан самостоятельно принимать решения по вопросам:</w:t>
      </w:r>
    </w:p>
    <w:p w:rsidR="00BE53F0" w:rsidRDefault="007D3578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информации по результатам</w:t>
      </w:r>
      <w:r>
        <w:rPr>
          <w:sz w:val="26"/>
          <w:szCs w:val="26"/>
        </w:rPr>
        <w:t xml:space="preserve"> анализа сведений о доходах, расходах, об имуществе и обязательствах имущественного характера руководителей учреждений, их супруг (супругов) и несовершеннолетних детей, подготовка докладов, информации по результатам проверок указанных сведений;</w:t>
      </w:r>
    </w:p>
    <w:p w:rsidR="00BE53F0" w:rsidRDefault="007D3578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</w:t>
      </w:r>
      <w:r>
        <w:rPr>
          <w:sz w:val="26"/>
          <w:szCs w:val="26"/>
        </w:rPr>
        <w:t>вание физических и юридических лиц по вопросам, входящим в компетенцию сектора;</w:t>
      </w: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>принятие мер по результатам проведенных проверок, в том числе:</w:t>
      </w: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>составление акта проверки;</w:t>
      </w: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>выдача предписания юридическому лицу, индивидуальному предпринимателю об устранении вы</w:t>
      </w:r>
      <w:r>
        <w:rPr>
          <w:sz w:val="26"/>
          <w:szCs w:val="26"/>
        </w:rPr>
        <w:t>явленных нарушений;</w:t>
      </w: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 xml:space="preserve">принятие мер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устранением выявленных нарушений, их предупреждению;</w:t>
      </w: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>принятие мер по привлечению лиц, допустивших выявленные нарушения, к ответственности.</w:t>
      </w:r>
    </w:p>
    <w:p w:rsidR="00BE53F0" w:rsidRDefault="007D3578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 При исполнении должностных обязанностей консультант вправе самост</w:t>
      </w:r>
      <w:r>
        <w:rPr>
          <w:sz w:val="26"/>
          <w:szCs w:val="26"/>
        </w:rPr>
        <w:t>оятельно принимать управленческие и иные решения:</w:t>
      </w:r>
    </w:p>
    <w:p w:rsidR="00BE53F0" w:rsidRDefault="007D3578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выбор способов и методов выполнения возложенных на него должностных обязанностей;</w:t>
      </w:r>
    </w:p>
    <w:p w:rsidR="00BE53F0" w:rsidRDefault="007D3578">
      <w:pPr>
        <w:spacing w:line="230" w:lineRule="auto"/>
        <w:ind w:firstLine="708"/>
        <w:jc w:val="both"/>
        <w:rPr>
          <w:sz w:val="22"/>
          <w:szCs w:val="22"/>
        </w:rPr>
      </w:pPr>
      <w:r>
        <w:rPr>
          <w:sz w:val="26"/>
          <w:szCs w:val="26"/>
        </w:rPr>
        <w:t>подписание докладных (служебных) записок.</w:t>
      </w:r>
    </w:p>
    <w:p w:rsidR="00BE53F0" w:rsidRDefault="00BE53F0">
      <w:pPr>
        <w:spacing w:line="23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3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V. Перечень проектов нормативных правовых актов </w:t>
      </w:r>
      <w:r>
        <w:rPr>
          <w:b/>
          <w:sz w:val="26"/>
          <w:szCs w:val="26"/>
        </w:rPr>
        <w:t xml:space="preserve">и (или) проектов управленческих и иных решений, в подготовке (обсуждении) которых </w:t>
      </w:r>
      <w:r>
        <w:rPr>
          <w:b/>
          <w:sz w:val="26"/>
          <w:szCs w:val="26"/>
        </w:rPr>
        <w:br w:type="textWrapping" w:clear="all"/>
      </w:r>
      <w:r>
        <w:rPr>
          <w:b/>
          <w:sz w:val="26"/>
          <w:szCs w:val="26"/>
        </w:rPr>
        <w:t>гражданский служащий обязан или вправе участвовать</w:t>
      </w:r>
    </w:p>
    <w:p w:rsidR="00BE53F0" w:rsidRDefault="00BE53F0">
      <w:pPr>
        <w:spacing w:line="23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 xml:space="preserve">15. Консультант в соответствии со своей компетенцией обязан </w:t>
      </w:r>
      <w:r>
        <w:rPr>
          <w:sz w:val="26"/>
          <w:szCs w:val="26"/>
        </w:rPr>
        <w:t xml:space="preserve">осуществлять подготовку проектов </w:t>
      </w:r>
      <w:r>
        <w:rPr>
          <w:sz w:val="26"/>
          <w:szCs w:val="26"/>
        </w:rPr>
        <w:t>нормативных правовых актов и</w:t>
      </w:r>
      <w:r>
        <w:rPr>
          <w:sz w:val="26"/>
          <w:szCs w:val="26"/>
        </w:rPr>
        <w:t xml:space="preserve"> (или) проектов управленческих и иных решений</w:t>
      </w:r>
      <w:r>
        <w:rPr>
          <w:sz w:val="26"/>
          <w:szCs w:val="26"/>
        </w:rPr>
        <w:t>:</w:t>
      </w: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>проектов приказов (распоряжений) Службы по вопросам, входящим в компетенцию сектора;</w:t>
      </w:r>
    </w:p>
    <w:p w:rsidR="00BE53F0" w:rsidRDefault="007D3578">
      <w:pPr>
        <w:spacing w:line="230" w:lineRule="auto"/>
        <w:ind w:firstLine="708"/>
        <w:jc w:val="both"/>
      </w:pPr>
      <w:r>
        <w:rPr>
          <w:sz w:val="26"/>
          <w:szCs w:val="26"/>
        </w:rPr>
        <w:t>проектов ответов на поступившие в Службу обращения, письма граждан и организаций.</w:t>
      </w:r>
    </w:p>
    <w:p w:rsidR="00BE53F0" w:rsidRDefault="00BE53F0">
      <w:pPr>
        <w:spacing w:line="230" w:lineRule="auto"/>
        <w:ind w:firstLine="708"/>
        <w:jc w:val="both"/>
        <w:rPr>
          <w:sz w:val="26"/>
          <w:szCs w:val="26"/>
        </w:rPr>
      </w:pPr>
    </w:p>
    <w:p w:rsidR="00BE53F0" w:rsidRDefault="00BE53F0">
      <w:pPr>
        <w:spacing w:line="23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3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Сроки и процедура подготовки, рассмо</w:t>
      </w:r>
      <w:r>
        <w:rPr>
          <w:b/>
          <w:sz w:val="26"/>
          <w:szCs w:val="26"/>
        </w:rPr>
        <w:t xml:space="preserve">трения </w:t>
      </w:r>
      <w:proofErr w:type="gramStart"/>
      <w:r>
        <w:rPr>
          <w:b/>
          <w:sz w:val="26"/>
          <w:szCs w:val="26"/>
        </w:rPr>
        <w:t>гражданским</w:t>
      </w:r>
      <w:proofErr w:type="gramEnd"/>
      <w:r>
        <w:rPr>
          <w:b/>
          <w:sz w:val="26"/>
          <w:szCs w:val="26"/>
        </w:rPr>
        <w:t xml:space="preserve"> </w:t>
      </w:r>
    </w:p>
    <w:p w:rsidR="00BE53F0" w:rsidRDefault="007D3578">
      <w:pPr>
        <w:spacing w:line="23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служащим проектов управленческих и иных решений, </w:t>
      </w:r>
    </w:p>
    <w:p w:rsidR="00BE53F0" w:rsidRDefault="007D3578">
      <w:pPr>
        <w:spacing w:line="23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порядок согласования и принятия решений</w:t>
      </w:r>
    </w:p>
    <w:p w:rsidR="00BE53F0" w:rsidRDefault="00BE53F0">
      <w:pPr>
        <w:spacing w:line="23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 В соответствии со своими должностными обязанностями консультант принимает решения в сроки, установленные нормативными правовыми актами Россий</w:t>
      </w:r>
      <w:r>
        <w:rPr>
          <w:sz w:val="26"/>
          <w:szCs w:val="26"/>
        </w:rPr>
        <w:t>ской Федерации и нормативными правовыми актами Чувашской Республики.</w:t>
      </w:r>
    </w:p>
    <w:p w:rsidR="00BE53F0" w:rsidRDefault="00BE53F0">
      <w:pPr>
        <w:spacing w:line="25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VII. Порядок служебного взаимодействия</w:t>
      </w:r>
    </w:p>
    <w:p w:rsidR="00BE53F0" w:rsidRDefault="00BE53F0">
      <w:pPr>
        <w:spacing w:line="25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5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proofErr w:type="gramStart"/>
      <w:r>
        <w:rPr>
          <w:sz w:val="26"/>
          <w:szCs w:val="26"/>
        </w:rPr>
        <w:t>Взаимодействие консультанта с гражданскими служащими Службы, гражданскими служащими иных государственных органов, а также с другими гражданами</w:t>
      </w:r>
      <w:r>
        <w:rPr>
          <w:sz w:val="26"/>
          <w:szCs w:val="26"/>
        </w:rPr>
        <w:t xml:space="preserve">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</w:t>
      </w:r>
      <w:r>
        <w:rPr>
          <w:sz w:val="26"/>
          <w:szCs w:val="26"/>
        </w:rPr>
        <w:t>ия государственных служащих», и требований к служебному поведению, установленных статьей 18 Федерального закона</w:t>
      </w:r>
      <w:proofErr w:type="gramEnd"/>
      <w:r>
        <w:rPr>
          <w:sz w:val="26"/>
          <w:szCs w:val="26"/>
        </w:rPr>
        <w:t xml:space="preserve"> о гражданской службе, а также в соответствии с иными нормативными правовыми актами Российской Федерации, нормативными правовыми актами Чувашской</w:t>
      </w:r>
      <w:r>
        <w:rPr>
          <w:sz w:val="26"/>
          <w:szCs w:val="26"/>
        </w:rPr>
        <w:t xml:space="preserve"> Республики и Службы.</w:t>
      </w:r>
    </w:p>
    <w:p w:rsidR="00BE53F0" w:rsidRDefault="00BE53F0">
      <w:pPr>
        <w:spacing w:line="250" w:lineRule="auto"/>
        <w:ind w:firstLine="708"/>
        <w:jc w:val="both"/>
        <w:rPr>
          <w:sz w:val="22"/>
          <w:szCs w:val="22"/>
        </w:rPr>
      </w:pPr>
    </w:p>
    <w:p w:rsidR="00BE53F0" w:rsidRDefault="007D3578">
      <w:pPr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VIII. Перечень государственных услуг (видов деятельности), </w:t>
      </w:r>
    </w:p>
    <w:p w:rsidR="00BE53F0" w:rsidRDefault="007D3578">
      <w:pPr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оказываемых гражданским служащим по запросам граждан </w:t>
      </w:r>
    </w:p>
    <w:p w:rsidR="00BE53F0" w:rsidRDefault="007D3578">
      <w:pPr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организаций в соответствии с административным регламентом </w:t>
      </w:r>
    </w:p>
    <w:p w:rsidR="00BE53F0" w:rsidRDefault="007D3578">
      <w:pPr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(иным нормативным правовым актом) Службы</w:t>
      </w:r>
    </w:p>
    <w:p w:rsidR="00BE53F0" w:rsidRDefault="00BE53F0">
      <w:pPr>
        <w:spacing w:line="250" w:lineRule="auto"/>
        <w:jc w:val="center"/>
        <w:rPr>
          <w:sz w:val="26"/>
          <w:szCs w:val="26"/>
        </w:rPr>
      </w:pPr>
    </w:p>
    <w:p w:rsidR="00BE53F0" w:rsidRDefault="007D3578">
      <w:pPr>
        <w:spacing w:line="25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Консультант </w:t>
      </w:r>
      <w:r>
        <w:rPr>
          <w:sz w:val="26"/>
          <w:szCs w:val="26"/>
        </w:rPr>
        <w:t>в пределах своей компетенции не осуществляет предоставление государственных услуг.</w:t>
      </w:r>
    </w:p>
    <w:p w:rsidR="00BE53F0" w:rsidRDefault="00BE53F0">
      <w:pPr>
        <w:spacing w:line="250" w:lineRule="auto"/>
        <w:ind w:firstLine="708"/>
        <w:jc w:val="both"/>
        <w:rPr>
          <w:sz w:val="26"/>
          <w:szCs w:val="26"/>
        </w:rPr>
      </w:pPr>
    </w:p>
    <w:p w:rsidR="00BE53F0" w:rsidRDefault="00BE53F0">
      <w:pPr>
        <w:spacing w:line="250" w:lineRule="auto"/>
        <w:jc w:val="center"/>
        <w:rPr>
          <w:b/>
          <w:sz w:val="26"/>
          <w:szCs w:val="26"/>
        </w:rPr>
      </w:pPr>
    </w:p>
    <w:p w:rsidR="00BE53F0" w:rsidRDefault="00BE53F0">
      <w:pPr>
        <w:spacing w:line="250" w:lineRule="auto"/>
        <w:jc w:val="center"/>
        <w:rPr>
          <w:b/>
          <w:sz w:val="26"/>
          <w:szCs w:val="26"/>
        </w:rPr>
      </w:pPr>
    </w:p>
    <w:p w:rsidR="00BE53F0" w:rsidRDefault="00BE53F0">
      <w:pPr>
        <w:spacing w:line="250" w:lineRule="auto"/>
        <w:jc w:val="center"/>
        <w:rPr>
          <w:b/>
          <w:sz w:val="26"/>
          <w:szCs w:val="26"/>
        </w:rPr>
      </w:pPr>
    </w:p>
    <w:p w:rsidR="00BE53F0" w:rsidRDefault="007D3578">
      <w:pPr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IX. Показатели эффективности и результативности</w:t>
      </w:r>
    </w:p>
    <w:p w:rsidR="00BE53F0" w:rsidRDefault="007D3578">
      <w:pPr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профессиональной служебной деятельности</w:t>
      </w:r>
    </w:p>
    <w:p w:rsidR="00BE53F0" w:rsidRDefault="00BE53F0">
      <w:pPr>
        <w:spacing w:line="250" w:lineRule="auto"/>
        <w:ind w:firstLine="708"/>
        <w:jc w:val="both"/>
        <w:rPr>
          <w:sz w:val="26"/>
          <w:szCs w:val="26"/>
        </w:rPr>
      </w:pPr>
    </w:p>
    <w:p w:rsidR="00BE53F0" w:rsidRDefault="007D3578">
      <w:pPr>
        <w:spacing w:line="25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gramStart"/>
      <w:r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консультанта оцениваются по показателям (критериям), установленным Порядком премирования, выплаты ежемесячной надбавки за особые условия гражданской службы, ежемесячного денежного поощрения, единовременной выплаты при предоставлении ежегодного оплачиваемог</w:t>
      </w:r>
      <w:r>
        <w:rPr>
          <w:sz w:val="26"/>
          <w:szCs w:val="26"/>
        </w:rPr>
        <w:t>о отпуска, материальной помощи и единовременного поощрения государственных гражданских служащих Чувашской Республики Государственной ветеринарной службы Чувашской Республики, утвержденным приказом Службы от 11 апреля 2013 г. № 141.</w:t>
      </w:r>
      <w:proofErr w:type="gramEnd"/>
    </w:p>
    <w:p w:rsidR="00BE53F0" w:rsidRDefault="007D3578">
      <w:pPr>
        <w:spacing w:line="250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 w:clear="all"/>
      </w:r>
      <w:r>
        <w:rPr>
          <w:b/>
          <w:sz w:val="26"/>
          <w:szCs w:val="26"/>
        </w:rPr>
        <w:t>X. Лист ознакомления</w:t>
      </w:r>
    </w:p>
    <w:p w:rsidR="00BE53F0" w:rsidRDefault="00BE53F0">
      <w:pPr>
        <w:ind w:firstLine="708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367"/>
        <w:gridCol w:w="1920"/>
        <w:gridCol w:w="2159"/>
        <w:gridCol w:w="2172"/>
      </w:tblGrid>
      <w:tr w:rsidR="00BE53F0">
        <w:tc>
          <w:tcPr>
            <w:tcW w:w="314" w:type="pct"/>
          </w:tcPr>
          <w:p w:rsidR="00BE53F0" w:rsidRDefault="007D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:rsidR="00BE53F0" w:rsidRDefault="007D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</w:t>
            </w:r>
            <w:r>
              <w:rPr>
                <w:sz w:val="26"/>
                <w:szCs w:val="26"/>
              </w:rPr>
              <w:br w:type="textWrapping" w:clear="all"/>
            </w:r>
            <w:r>
              <w:rPr>
                <w:sz w:val="26"/>
                <w:szCs w:val="26"/>
              </w:rPr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BE53F0" w:rsidRDefault="007D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BE53F0" w:rsidRDefault="007D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BE53F0" w:rsidRDefault="007D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  <w:tr w:rsidR="00BE53F0">
        <w:tc>
          <w:tcPr>
            <w:tcW w:w="314" w:type="pct"/>
          </w:tcPr>
          <w:p w:rsidR="00BE53F0" w:rsidRDefault="00BE53F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BE53F0" w:rsidRDefault="00BE53F0">
            <w:pPr>
              <w:rPr>
                <w:sz w:val="26"/>
                <w:szCs w:val="26"/>
              </w:rPr>
            </w:pPr>
          </w:p>
        </w:tc>
      </w:tr>
    </w:tbl>
    <w:p w:rsidR="00BE53F0" w:rsidRDefault="00BE53F0"/>
    <w:sectPr w:rsidR="00BE53F0">
      <w:headerReference w:type="even" r:id="rId7"/>
      <w:headerReference w:type="default" r:id="rId8"/>
      <w:foot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F0" w:rsidRDefault="007D3578">
      <w:r>
        <w:separator/>
      </w:r>
    </w:p>
  </w:endnote>
  <w:endnote w:type="continuationSeparator" w:id="0">
    <w:p w:rsidR="00BE53F0" w:rsidRDefault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F0" w:rsidRDefault="00BE53F0">
    <w:pPr>
      <w:pStyle w:val="ad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F0" w:rsidRDefault="007D3578">
      <w:r>
        <w:separator/>
      </w:r>
    </w:p>
  </w:footnote>
  <w:footnote w:type="continuationSeparator" w:id="0">
    <w:p w:rsidR="00BE53F0" w:rsidRDefault="007D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F0" w:rsidRDefault="007D3578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6</w:t>
    </w:r>
    <w:r>
      <w:rPr>
        <w:rStyle w:val="afb"/>
      </w:rPr>
      <w:fldChar w:fldCharType="end"/>
    </w:r>
  </w:p>
  <w:p w:rsidR="00BE53F0" w:rsidRDefault="00BE53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F0" w:rsidRDefault="007D357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F0"/>
    <w:rsid w:val="007D3578"/>
    <w:rsid w:val="00B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cs="Arial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2">
    <w:name w:val="Стиль1"/>
    <w:basedOn w:val="afa"/>
    <w:pPr>
      <w:spacing w:after="0"/>
      <w:ind w:left="0" w:firstLine="708"/>
    </w:pPr>
    <w:rPr>
      <w:bCs/>
      <w:color w:val="000000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24">
    <w:name w:val="Стиль2"/>
    <w:basedOn w:val="3"/>
  </w:style>
  <w:style w:type="character" w:styleId="afb">
    <w:name w:val="page number"/>
    <w:basedOn w:val="a0"/>
  </w:style>
  <w:style w:type="paragraph" w:customStyle="1" w:styleId="ConsPlusCell">
    <w:name w:val="ConsPlusCell"/>
    <w:rPr>
      <w:sz w:val="26"/>
      <w:szCs w:val="26"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cs="Arial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2">
    <w:name w:val="Стиль1"/>
    <w:basedOn w:val="afa"/>
    <w:pPr>
      <w:spacing w:after="0"/>
      <w:ind w:left="0" w:firstLine="708"/>
    </w:pPr>
    <w:rPr>
      <w:bCs/>
      <w:color w:val="000000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24">
    <w:name w:val="Стиль2"/>
    <w:basedOn w:val="3"/>
  </w:style>
  <w:style w:type="character" w:styleId="afb">
    <w:name w:val="page number"/>
    <w:basedOn w:val="a0"/>
  </w:style>
  <w:style w:type="paragraph" w:customStyle="1" w:styleId="ConsPlusCell">
    <w:name w:val="ConsPlusCell"/>
    <w:rPr>
      <w:sz w:val="26"/>
      <w:szCs w:val="26"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распоряжение Администрации Главы Чувашской Республики от 21 ноября 2013 г</vt:lpstr>
    </vt:vector>
  </TitlesOfParts>
  <Company>GKSI</Company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распоряжение Администрации Главы Чувашской Республики от 21 ноября 2013 г</dc:title>
  <dc:creator>Администратор</dc:creator>
  <cp:lastModifiedBy>Татьяна Мельникова</cp:lastModifiedBy>
  <cp:revision>2</cp:revision>
  <dcterms:created xsi:type="dcterms:W3CDTF">2024-08-05T07:34:00Z</dcterms:created>
  <dcterms:modified xsi:type="dcterms:W3CDTF">2024-08-05T07:34:00Z</dcterms:modified>
  <cp:version>917504</cp:version>
</cp:coreProperties>
</file>