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32"/>
          <w:szCs w:val="32"/>
          <w:lang w:eastAsia="ru-RU"/>
        </w:rPr>
      </w:pPr>
      <w:r>
        <w:rPr>
          <w:rStyle w:val="S10"/>
          <w:rFonts w:eastAsia="Times New Roman" w:cs="Times New Roman"/>
          <w:b/>
          <w:bCs/>
          <w:color w:val="000000"/>
          <w:sz w:val="32"/>
          <w:szCs w:val="32"/>
          <w:lang w:eastAsia="ru-RU"/>
        </w:rPr>
        <w:t>Добровольная сдача</w:t>
      </w:r>
    </w:p>
    <w:p>
      <w:pPr>
        <w:pStyle w:val="Style16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32"/>
          <w:szCs w:val="32"/>
          <w:lang w:eastAsia="ru-RU"/>
        </w:rPr>
      </w:pPr>
      <w:r>
        <w:rPr>
          <w:rStyle w:val="S10"/>
          <w:rFonts w:eastAsia="Times New Roman" w:cs="Times New Roman"/>
          <w:b/>
          <w:bCs/>
          <w:color w:val="000000"/>
          <w:sz w:val="32"/>
          <w:szCs w:val="32"/>
          <w:lang w:eastAsia="ru-RU"/>
        </w:rPr>
        <w:t>незарегистрированных предметов вооружения на</w:t>
        <w:br/>
        <w:t>возмездной (платной) основе в рамках действующих программ профилактики на территории</w:t>
        <w:br/>
        <w:t>Чувашской Республики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uppressAutoHyphens w:val="true"/>
        <w:overflowPunct w:val="true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134" w:leader="none"/>
        </w:tabs>
        <w:suppressAutoHyphens w:val="true"/>
        <w:overflowPunct w:val="true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целях совершенствования работы по профилактике преступлений в сфере незаконного оборота оружия, боеприпасов, взрывчатых веществ, Управлением Росгвардии по Чувашской Республике во взаимодействии с МВД по Чувашской Республике реализуются мероприятия по изъятию добровольно сдаваемых гражданами незарегистрированных предметов вооружения, в том числе за денежное вознаграждение.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возмездному изъятию оружия в 2024 году осуществляются в рамках подпрограммы «Профилактика терроризма и экстремистской деятельности в Чувашской Республике» Государственной программы Чувашской Республики «Повышение безопасности жизнедеятельности населения и территорий Чувашской Республики», утвержденной постановлением Кабинета Министров Чувашской Республики от 15 ноября 2018 года № 459.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указанного постановления Кабинета Министров на организацию работы по добровольной сдаче в органы внутренних дел незарегистрированных предметов вооружения в 2024 году органами местного самоуправления из соответствующих бюджетов было выделено свыше 450 000 руб. 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действие программы подпадает любой предмет вооружения, хранящийся у граждан без соответствующих разрешительных документов и не состоящий на учете в подразделениях лицензионно-разрешительной работы.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их сдачи гражданину необходимо обратиться в любой территориальный органов МВД России либо Росгвардии с соответствующим заявлением. При невозможности личного обращения в указанные правоохранительные органы о факте наличия на руках незарегистрированных предметов вооружения следует сообщить по телефону.</w:t>
      </w:r>
    </w:p>
    <w:p>
      <w:pPr>
        <w:pStyle w:val="2"/>
        <w:shd w:val="clear" w:color="auto" w:fill="FFFFFF"/>
        <w:suppressAutoHyphens w:val="true"/>
        <w:ind w:firstLine="709"/>
        <w:jc w:val="both"/>
        <w:rPr>
          <w:rFonts w:eastAsia="Calibri" w:eastAsiaTheme="minorHAnsi"/>
          <w:bCs/>
          <w:i/>
          <w:i/>
          <w:sz w:val="28"/>
          <w:szCs w:val="28"/>
          <w:lang w:eastAsia="en-US"/>
        </w:rPr>
      </w:pPr>
      <w:r>
        <w:rPr>
          <w:i/>
          <w:sz w:val="28"/>
          <w:szCs w:val="28"/>
        </w:rPr>
        <w:t>В</w:t>
      </w:r>
      <w:r>
        <w:rPr>
          <w:rFonts w:eastAsia="Calibri" w:eastAsiaTheme="minorHAnsi"/>
          <w:bCs/>
          <w:i/>
          <w:sz w:val="28"/>
          <w:szCs w:val="28"/>
          <w:lang w:eastAsia="en-US"/>
        </w:rPr>
        <w:t xml:space="preserve"> среднем по республике на сегодняшний день размер денежной выплаты за добровольную сдачу незарегистрированного оружия составляет от 5000 -7000 руб. В ряде районов республики размер выплат за сдачу незарегистрированного оружия доходит до 9000 руб. 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uppressAutoHyphens w:val="true"/>
        <w:overflowPunct w:val="true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 состоянию на 1 мая 2024 года участие в указанных мероприятиях приняло 18 граждан, сдавших в органы внутренних дел и подразделения Росгвардии 14 ед. оружия, 3 основных частей к оружию и 149 шт. боеприпасов различного калибра и свыше 2 кг пороха..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фактам добровольной сдачи оружия гражданам произведены выплаты в размере более 50 000 рублей.</w:t>
      </w:r>
    </w:p>
    <w:p>
      <w:pPr>
        <w:sectPr>
          <w:type w:val="nextPage"/>
          <w:pgSz w:w="11906" w:h="16838"/>
          <w:pgMar w:left="1134" w:right="1134" w:header="0" w:top="1376" w:footer="0" w:bottom="1134" w:gutter="0"/>
          <w:pgNumType w:fmt="decimal"/>
          <w:formProt w:val="false"/>
          <w:textDirection w:val="lrTb"/>
        </w:sectPr>
        <w:pStyle w:val="ConsPlusNormal"/>
        <w:widowControl w:val="false"/>
        <w:tabs>
          <w:tab w:val="clear" w:pos="708"/>
          <w:tab w:val="left" w:pos="1134" w:leader="none"/>
        </w:tabs>
        <w:suppressAutoHyphens w:val="true"/>
        <w:overflowPunct w:val="true"/>
        <w:spacing w:before="0" w:after="0"/>
        <w:ind w:left="0" w:firstLine="540"/>
        <w:jc w:val="both"/>
        <w:textAlignment w:val="baseline"/>
        <w:rPr/>
      </w:pPr>
      <w:r>
        <w:rPr>
          <w:rFonts w:eastAsia="Times New Roman" w:cs="Times New Roman"/>
          <w:sz w:val="28"/>
          <w:szCs w:val="28"/>
          <w:lang w:eastAsia="en-US"/>
        </w:rPr>
        <w:t xml:space="preserve">Согласно примечаний к ст. 222 Уголовного кодекса Российской Федерации </w:t>
      </w:r>
    </w:p>
    <w:p>
      <w:pPr>
        <w:pStyle w:val="ConsPlusNormal"/>
        <w:widowControl w:val="false"/>
        <w:tabs>
          <w:tab w:val="clear" w:pos="708"/>
          <w:tab w:val="left" w:pos="1134" w:leader="none"/>
        </w:tabs>
        <w:suppressAutoHyphens w:val="true"/>
        <w:overflowPunct w:val="true"/>
        <w:spacing w:before="0" w:after="0"/>
        <w:ind w:left="0" w:firstLine="540"/>
        <w:jc w:val="both"/>
        <w:textAlignment w:val="baseline"/>
        <w:rPr/>
      </w:pPr>
      <w:r>
        <w:rPr>
          <w:rFonts w:eastAsia="Times New Roman" w:cs="Times New Roman"/>
          <w:sz w:val="28"/>
          <w:szCs w:val="28"/>
          <w:lang w:eastAsia="en-US"/>
        </w:rPr>
        <w:t xml:space="preserve">и ст. 20.10 Кодекса Российской Федерации об административных правонарушениях лицо, добровольно сдавшее огнестрельное оружие, его основные части и боеприпасы к нему( за исключением крупнокалиберного огнестрельного оружия, его основных частей и боеприпасов к нему) освобождается от ответственности по данным статьям. </w:t>
      </w:r>
    </w:p>
    <w:p>
      <w:pPr>
        <w:pStyle w:val="ConsPlusNormal"/>
        <w:widowControl w:val="false"/>
        <w:tabs>
          <w:tab w:val="clear" w:pos="708"/>
          <w:tab w:val="left" w:pos="1134" w:leader="none"/>
        </w:tabs>
        <w:suppressAutoHyphens w:val="true"/>
        <w:overflowPunct w:val="true"/>
        <w:spacing w:before="0" w:after="0"/>
        <w:ind w:left="0" w:firstLine="540"/>
        <w:jc w:val="both"/>
        <w:textAlignment w:val="baseline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</w:r>
    </w:p>
    <w:p>
      <w:pPr>
        <w:pStyle w:val="ConsPlusNormal"/>
        <w:widowControl w:val="false"/>
        <w:tabs>
          <w:tab w:val="clear" w:pos="708"/>
          <w:tab w:val="left" w:pos="1134" w:leader="none"/>
        </w:tabs>
        <w:suppressAutoHyphens w:val="true"/>
        <w:overflowPunct w:val="true"/>
        <w:spacing w:before="0" w:after="0"/>
        <w:ind w:left="0" w:firstLine="540"/>
        <w:jc w:val="center"/>
        <w:textAlignment w:val="baseline"/>
        <w:rPr/>
      </w:pPr>
      <w:r>
        <w:rPr>
          <w:rFonts w:eastAsia="Times New Roman" w:cs="Times New Roman"/>
          <w:b/>
          <w:bCs/>
          <w:i/>
          <w:iCs/>
          <w:sz w:val="28"/>
          <w:szCs w:val="28"/>
          <w:lang w:eastAsia="en-US"/>
        </w:rPr>
        <w:t>Лучше сдать оружие за денежное вознаграждение, оставшись чистым перед законом, чем получить наказание и запятнать свою репутацию на всю жизнь!</w:t>
      </w:r>
    </w:p>
    <w:p>
      <w:pPr>
        <w:pStyle w:val="ConsPlusNormal"/>
        <w:widowControl w:val="false"/>
        <w:tabs>
          <w:tab w:val="clear" w:pos="708"/>
          <w:tab w:val="left" w:pos="1134" w:leader="none"/>
        </w:tabs>
        <w:suppressAutoHyphens w:val="true"/>
        <w:overflowPunct w:val="true"/>
        <w:spacing w:before="0" w:after="0"/>
        <w:ind w:left="0" w:firstLine="540"/>
        <w:jc w:val="center"/>
        <w:textAlignment w:val="baseline"/>
        <w:rPr>
          <w:rFonts w:eastAsia="Times New Roman" w:cs="Times New Roman"/>
          <w:b/>
          <w:b/>
          <w:bCs/>
          <w:i/>
          <w:i/>
          <w:iCs/>
          <w:sz w:val="28"/>
          <w:szCs w:val="28"/>
          <w:lang w:eastAsia="en-US"/>
        </w:rPr>
      </w:pPr>
      <w:r>
        <w:rPr>
          <w:rFonts w:eastAsia="Times New Roman" w:cs="Times New Roman"/>
          <w:b/>
          <w:bCs/>
          <w:i/>
          <w:iCs/>
          <w:sz w:val="28"/>
          <w:szCs w:val="28"/>
          <w:lang w:eastAsia="en-US"/>
        </w:rPr>
      </w:r>
    </w:p>
    <w:p>
      <w:pPr>
        <w:pStyle w:val="ConsPlusNormal"/>
        <w:widowControl w:val="false"/>
        <w:tabs>
          <w:tab w:val="clear" w:pos="708"/>
          <w:tab w:val="left" w:pos="1134" w:leader="none"/>
        </w:tabs>
        <w:suppressAutoHyphens w:val="true"/>
        <w:overflowPunct w:val="true"/>
        <w:spacing w:before="0" w:after="0"/>
        <w:ind w:left="0" w:firstLine="540"/>
        <w:jc w:val="center"/>
        <w:textAlignment w:val="baseline"/>
        <w:rPr>
          <w:rFonts w:eastAsia="Times New Roman" w:cs="Times New Roman"/>
          <w:b/>
          <w:b/>
          <w:bCs/>
          <w:i/>
          <w:i/>
          <w:iCs/>
          <w:sz w:val="28"/>
          <w:szCs w:val="28"/>
          <w:lang w:eastAsia="en-US"/>
        </w:rPr>
      </w:pPr>
      <w:r>
        <w:rPr>
          <w:rFonts w:eastAsia="Times New Roman" w:cs="Times New Roman"/>
          <w:b/>
          <w:bCs/>
          <w:i/>
          <w:iCs/>
          <w:sz w:val="28"/>
          <w:szCs w:val="28"/>
          <w:lang w:eastAsia="en-US"/>
        </w:rPr>
      </w:r>
    </w:p>
    <w:p>
      <w:pPr>
        <w:pStyle w:val="Normal"/>
        <w:widowControl w:val="false"/>
        <w:shd w:val="clear" w:fill="FFFFFF"/>
        <w:tabs>
          <w:tab w:val="clear" w:pos="708"/>
        </w:tabs>
        <w:suppressAutoHyphens w:val="true"/>
        <w:overflowPunct w:val="true"/>
        <w:spacing w:lineRule="auto" w:line="240" w:before="0" w:after="0"/>
        <w:ind w:left="0" w:right="0" w:hanging="0"/>
        <w:jc w:val="right"/>
        <w:textAlignment w:val="baseline"/>
        <w:rPr>
          <w:rFonts w:ascii="Times New Roman" w:hAnsi="Times New Roman" w:eastAsia="Times New Roman" w:cs="Times New Roman"/>
          <w:b/>
          <w:b/>
          <w:bCs/>
          <w:color w:val="000000"/>
          <w:spacing w:val="-4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pacing w:val="-4"/>
          <w:sz w:val="28"/>
          <w:szCs w:val="28"/>
          <w:lang w:eastAsia="en-US"/>
        </w:rPr>
        <w:t>ЦЛРР Управления Росгвардии по Чувашской Республике - Чувашии</w:t>
      </w:r>
    </w:p>
    <w:sectPr>
      <w:headerReference w:type="default" r:id="rId2"/>
      <w:type w:val="nextPage"/>
      <w:pgSz w:w="11906" w:h="16838"/>
      <w:pgMar w:left="1701" w:right="1134" w:header="688" w:top="1376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078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uiPriority w:val="99"/>
    <w:qFormat/>
    <w:rsid w:val="001379ed"/>
    <w:rPr>
      <w:b w:val="false"/>
      <w:bCs w:val="false"/>
      <w:color w:val="106BBE"/>
    </w:rPr>
  </w:style>
  <w:style w:type="character" w:styleId="S10">
    <w:name w:val="s_10"/>
    <w:basedOn w:val="DefaultParagraphFont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" w:customStyle="1">
    <w:name w:val="Обычный2"/>
    <w:qFormat/>
    <w:rsid w:val="004a078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Normal">
    <w:name w:val="ConsPlusNormal"/>
    <w:qFormat/>
    <w:pPr>
      <w:widowControl/>
      <w:suppressAutoHyphens w:val="true"/>
      <w:bidi w:val="0"/>
      <w:spacing w:lineRule="auto" w:line="259" w:before="0" w:after="0"/>
      <w:jc w:val="left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0"/>
      <w:sz w:val="24"/>
      <w:szCs w:val="24"/>
      <w:u w:val="none"/>
      <w:lang w:val="ru-RU" w:eastAsia="en-US" w:bidi="ar-SA"/>
    </w:rPr>
  </w:style>
  <w:style w:type="paragraph" w:styleId="Style20">
    <w:name w:val="Верхний и нижний колонтитулы"/>
    <w:basedOn w:val="Normal"/>
    <w:qFormat/>
    <w:pPr>
      <w:suppressLineNumbers/>
      <w:tabs>
        <w:tab w:val="clear" w:pos="708"/>
        <w:tab w:val="center" w:pos="4535" w:leader="none"/>
        <w:tab w:val="right" w:pos="9071" w:leader="none"/>
      </w:tabs>
    </w:pPr>
    <w:rPr/>
  </w:style>
  <w:style w:type="paragraph" w:styleId="Style21">
    <w:name w:val="Header"/>
    <w:basedOn w:val="Style20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Application>LibreOffice/6.4.4.2$Linux_X86_64 LibreOffice_project/40$Build-2</Application>
  <Pages>2</Pages>
  <Words>367</Words>
  <Characters>2556</Characters>
  <CharactersWithSpaces>2912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2019-04-15T11:53:00Z</dcterms:created>
  <dc:creator>Назаркин Евгений Вячеславович</dc:creator>
  <dc:description/>
  <dc:language>ru-RU</dc:language>
  <cp:lastModifiedBy/>
  <dcterms:modified xsi:type="dcterms:W3CDTF">2024-05-28T19:31:44Z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