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E2F491" wp14:editId="4DCD62D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6942CE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15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12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2022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1053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6942CE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15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12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.2022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1053</w:t>
            </w:r>
            <w:bookmarkStart w:id="0" w:name="_GoBack"/>
            <w:bookmarkEnd w:id="0"/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D4086D" w:rsidRDefault="00403F98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</w:t>
      </w:r>
      <w:r w:rsidRPr="009B44B6">
        <w:rPr>
          <w:rFonts w:ascii="Times New Roman" w:hAnsi="Times New Roman"/>
          <w:bCs/>
          <w:sz w:val="24"/>
          <w:szCs w:val="24"/>
        </w:rPr>
        <w:t xml:space="preserve"> администраци</w:t>
      </w:r>
      <w:r>
        <w:rPr>
          <w:rFonts w:ascii="Times New Roman" w:hAnsi="Times New Roman"/>
          <w:bCs/>
          <w:sz w:val="24"/>
          <w:szCs w:val="24"/>
        </w:rPr>
        <w:t xml:space="preserve">и Шумерлинского муниципального округа 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09.02.2022 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63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B44B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Примерного </w:t>
      </w:r>
      <w:r w:rsidR="00225F57">
        <w:rPr>
          <w:rFonts w:ascii="Times New Roman" w:hAnsi="Times New Roman"/>
          <w:bCs/>
          <w:sz w:val="24"/>
          <w:szCs w:val="24"/>
        </w:rPr>
        <w:t>п</w:t>
      </w:r>
      <w:r w:rsidRPr="00231F20">
        <w:rPr>
          <w:rFonts w:ascii="Times New Roman" w:hAnsi="Times New Roman"/>
          <w:bCs/>
          <w:sz w:val="24"/>
          <w:szCs w:val="24"/>
        </w:rPr>
        <w:t xml:space="preserve">оложения об оплате труда работников муниципальных учреждений Шумерлинского </w:t>
      </w:r>
      <w:r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231F20">
        <w:rPr>
          <w:rFonts w:ascii="Times New Roman" w:hAnsi="Times New Roman"/>
          <w:bCs/>
          <w:sz w:val="24"/>
          <w:szCs w:val="24"/>
        </w:rPr>
        <w:t>, занятых в сфере образования</w:t>
      </w:r>
      <w:r>
        <w:rPr>
          <w:rFonts w:ascii="Times New Roman" w:hAnsi="Times New Roman"/>
          <w:bCs/>
          <w:sz w:val="24"/>
          <w:szCs w:val="24"/>
        </w:rPr>
        <w:t>»</w:t>
      </w:r>
      <w:r w:rsidR="00D4086D" w:rsidRPr="00793DD5">
        <w:rPr>
          <w:rFonts w:ascii="Times New Roman" w:hAnsi="Times New Roman"/>
          <w:sz w:val="24"/>
          <w:szCs w:val="24"/>
        </w:rPr>
        <w:t xml:space="preserve"> </w:t>
      </w:r>
    </w:p>
    <w:p w:rsidR="00D4086D" w:rsidRDefault="00D4086D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14CB" w:rsidRPr="00D4086D" w:rsidRDefault="0061337A" w:rsidP="00D4086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3DD5">
        <w:rPr>
          <w:rFonts w:ascii="Times New Roman" w:hAnsi="Times New Roman"/>
          <w:sz w:val="24"/>
          <w:szCs w:val="24"/>
        </w:rPr>
        <w:t>Руководствуясь</w:t>
      </w:r>
      <w:r w:rsidR="00793DD5" w:rsidRPr="00793DD5">
        <w:rPr>
          <w:rFonts w:ascii="Times New Roman" w:hAnsi="Times New Roman"/>
          <w:sz w:val="24"/>
          <w:szCs w:val="24"/>
        </w:rPr>
        <w:t xml:space="preserve"> </w:t>
      </w:r>
      <w:r w:rsidR="00231F20" w:rsidRPr="007C7038">
        <w:rPr>
          <w:rFonts w:ascii="Times New Roman" w:hAnsi="Times New Roman"/>
          <w:sz w:val="24"/>
          <w:szCs w:val="24"/>
        </w:rPr>
        <w:t>Примерным положением об оплате труда работников государственных учреждений Чувашской Республики, занятых в сфере образования и науки, утвержденн</w:t>
      </w:r>
      <w:r w:rsidR="00D4086D">
        <w:rPr>
          <w:rFonts w:ascii="Times New Roman" w:hAnsi="Times New Roman"/>
          <w:sz w:val="24"/>
          <w:szCs w:val="24"/>
        </w:rPr>
        <w:t>ым</w:t>
      </w:r>
      <w:r w:rsidR="00231F20" w:rsidRPr="007C7038">
        <w:rPr>
          <w:rFonts w:ascii="Times New Roman" w:hAnsi="Times New Roman"/>
          <w:sz w:val="24"/>
          <w:szCs w:val="24"/>
        </w:rPr>
        <w:t xml:space="preserve"> постановлением Кабинета Министров Чувашской Республики от 13 сентября 2013 г. № 377</w:t>
      </w:r>
      <w:r w:rsidR="00231F20">
        <w:rPr>
          <w:rFonts w:ascii="Times New Roman" w:hAnsi="Times New Roman"/>
          <w:sz w:val="24"/>
          <w:szCs w:val="24"/>
        </w:rPr>
        <w:t>,</w:t>
      </w:r>
      <w:r w:rsidR="00231F20" w:rsidRPr="007C7038">
        <w:rPr>
          <w:rFonts w:ascii="Times New Roman" w:hAnsi="Times New Roman"/>
          <w:sz w:val="24"/>
          <w:szCs w:val="24"/>
        </w:rPr>
        <w:t xml:space="preserve"> </w:t>
      </w:r>
      <w:r w:rsidR="00231F20" w:rsidRPr="00231F20">
        <w:rPr>
          <w:rFonts w:ascii="Times New Roman" w:hAnsi="Times New Roman"/>
          <w:sz w:val="24"/>
          <w:szCs w:val="24"/>
        </w:rPr>
        <w:t>Уставом Шумерлинского муниципального округа Чувашской Республики</w:t>
      </w:r>
      <w:r w:rsidR="00D4086D">
        <w:rPr>
          <w:rFonts w:ascii="Times New Roman" w:hAnsi="Times New Roman"/>
          <w:sz w:val="24"/>
          <w:szCs w:val="24"/>
        </w:rPr>
        <w:t xml:space="preserve">, </w:t>
      </w:r>
    </w:p>
    <w:p w:rsidR="00123C6D" w:rsidRPr="00793DD5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1C0904" w:rsidRDefault="00123C6D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proofErr w:type="gramEnd"/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с т а н о в л я е т:</w:t>
      </w:r>
    </w:p>
    <w:p w:rsidR="009B44B6" w:rsidRPr="001C0904" w:rsidRDefault="009B44B6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3F98" w:rsidRPr="001C0904" w:rsidRDefault="009B44B6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403F98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Внести в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Примерное положение об оплате труда работников муниципальных учреждений Шумерлинского 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, занятых в сфере образования</w:t>
      </w:r>
      <w:r w:rsidR="00403F98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, утвержденное постановлением администрации Шумерлинского муниципального округа от 09.02.2022 № 63, следующие изменения:</w:t>
      </w:r>
    </w:p>
    <w:p w:rsidR="001C0904" w:rsidRDefault="00A27479" w:rsidP="001C0904">
      <w:pPr>
        <w:pStyle w:val="ConsPlusNormal"/>
        <w:ind w:firstLine="540"/>
        <w:jc w:val="both"/>
        <w:rPr>
          <w:bCs/>
          <w:color w:val="000000" w:themeColor="text1"/>
          <w:sz w:val="24"/>
          <w:szCs w:val="24"/>
        </w:rPr>
      </w:pPr>
      <w:r w:rsidRPr="001C0904">
        <w:rPr>
          <w:bCs/>
          <w:color w:val="000000" w:themeColor="text1"/>
          <w:sz w:val="24"/>
          <w:szCs w:val="24"/>
        </w:rPr>
        <w:t>1.1</w:t>
      </w:r>
      <w:r w:rsidR="00791F7A" w:rsidRPr="001C0904">
        <w:rPr>
          <w:bCs/>
          <w:color w:val="000000" w:themeColor="text1"/>
          <w:sz w:val="24"/>
          <w:szCs w:val="24"/>
        </w:rPr>
        <w:t>.</w:t>
      </w:r>
      <w:r w:rsidRPr="001C0904">
        <w:rPr>
          <w:bCs/>
          <w:color w:val="000000" w:themeColor="text1"/>
          <w:sz w:val="24"/>
          <w:szCs w:val="24"/>
        </w:rPr>
        <w:t xml:space="preserve"> </w:t>
      </w:r>
      <w:r w:rsidR="001C0904">
        <w:rPr>
          <w:bCs/>
          <w:color w:val="000000" w:themeColor="text1"/>
          <w:sz w:val="24"/>
          <w:szCs w:val="24"/>
        </w:rPr>
        <w:t xml:space="preserve">в разделе </w:t>
      </w:r>
      <w:r w:rsidR="001C0904">
        <w:rPr>
          <w:bCs/>
          <w:color w:val="000000" w:themeColor="text1"/>
          <w:sz w:val="24"/>
          <w:szCs w:val="24"/>
          <w:lang w:val="en-US"/>
        </w:rPr>
        <w:t>I</w:t>
      </w:r>
      <w:r w:rsidR="001C0904">
        <w:rPr>
          <w:bCs/>
          <w:color w:val="000000" w:themeColor="text1"/>
          <w:sz w:val="24"/>
          <w:szCs w:val="24"/>
        </w:rPr>
        <w:t>:</w:t>
      </w:r>
    </w:p>
    <w:p w:rsidR="00A27479" w:rsidRPr="001C0904" w:rsidRDefault="00A27479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 xml:space="preserve">подпункт </w:t>
      </w:r>
      <w:r w:rsidR="001C0904">
        <w:rPr>
          <w:color w:val="000000" w:themeColor="text1"/>
          <w:sz w:val="24"/>
          <w:szCs w:val="24"/>
        </w:rPr>
        <w:t>«</w:t>
      </w:r>
      <w:r w:rsidRPr="001C0904">
        <w:rPr>
          <w:color w:val="000000" w:themeColor="text1"/>
          <w:sz w:val="24"/>
          <w:szCs w:val="24"/>
        </w:rPr>
        <w:t>а</w:t>
      </w:r>
      <w:r w:rsidR="001C0904">
        <w:rPr>
          <w:color w:val="000000" w:themeColor="text1"/>
          <w:sz w:val="24"/>
          <w:szCs w:val="24"/>
        </w:rPr>
        <w:t>»</w:t>
      </w:r>
      <w:r w:rsidRPr="001C0904">
        <w:rPr>
          <w:color w:val="000000" w:themeColor="text1"/>
          <w:sz w:val="24"/>
          <w:szCs w:val="24"/>
        </w:rPr>
        <w:t xml:space="preserve"> пункта 1.6 изложить в следующей редакции:</w:t>
      </w:r>
    </w:p>
    <w:p w:rsidR="00A27479" w:rsidRPr="001C0904" w:rsidRDefault="001C0904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A27479" w:rsidRPr="001C0904">
        <w:rPr>
          <w:color w:val="000000" w:themeColor="text1"/>
          <w:sz w:val="24"/>
          <w:szCs w:val="24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профессиональных стандартов и иных нормативных правовых актов Правительства Российской Федерации</w:t>
      </w:r>
      <w:proofErr w:type="gramStart"/>
      <w:r w:rsidR="00A27479" w:rsidRPr="001C0904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>»</w:t>
      </w:r>
      <w:proofErr w:type="gramEnd"/>
    </w:p>
    <w:p w:rsidR="00A27479" w:rsidRPr="001C0904" w:rsidRDefault="00A27479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>пункт 1.10</w:t>
      </w:r>
      <w:r w:rsidR="005B5898" w:rsidRPr="001C0904">
        <w:rPr>
          <w:color w:val="000000" w:themeColor="text1"/>
          <w:sz w:val="24"/>
          <w:szCs w:val="24"/>
        </w:rPr>
        <w:t xml:space="preserve"> </w:t>
      </w:r>
      <w:r w:rsidRPr="001C0904">
        <w:rPr>
          <w:color w:val="000000" w:themeColor="text1"/>
          <w:sz w:val="24"/>
          <w:szCs w:val="24"/>
        </w:rPr>
        <w:t>изложить в следующей редакции:</w:t>
      </w:r>
    </w:p>
    <w:p w:rsidR="00A27479" w:rsidRPr="001C0904" w:rsidRDefault="00EE508D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A27479" w:rsidRPr="001C0904">
        <w:rPr>
          <w:color w:val="000000" w:themeColor="text1"/>
          <w:sz w:val="24"/>
          <w:szCs w:val="24"/>
        </w:rPr>
        <w:t xml:space="preserve">1.10. Размеры окладов (ставок) устанавливаются в соответствии с абзацем </w:t>
      </w:r>
      <w:r>
        <w:rPr>
          <w:color w:val="000000" w:themeColor="text1"/>
          <w:sz w:val="24"/>
          <w:szCs w:val="24"/>
        </w:rPr>
        <w:t xml:space="preserve">седьмым пункта 1.1 </w:t>
      </w:r>
      <w:r w:rsidR="00A27479" w:rsidRPr="001C0904">
        <w:rPr>
          <w:color w:val="000000" w:themeColor="text1"/>
          <w:sz w:val="24"/>
          <w:szCs w:val="24"/>
        </w:rPr>
        <w:t xml:space="preserve">настоящего Положения руководителем учреждения по квалификационным уровням ПКГ. </w:t>
      </w:r>
      <w:proofErr w:type="gramStart"/>
      <w:r w:rsidR="00A27479" w:rsidRPr="001C0904">
        <w:rPr>
          <w:color w:val="000000" w:themeColor="text1"/>
          <w:sz w:val="24"/>
          <w:szCs w:val="24"/>
        </w:rPr>
        <w:t>Размеры выплат по коэффициентам определяются путем умножения размера оклада (ставки) по соответствующей ПКГ на величину коэффициента по соответствующему уровню ПКГ.</w:t>
      </w:r>
      <w:r>
        <w:rPr>
          <w:color w:val="000000" w:themeColor="text1"/>
          <w:sz w:val="24"/>
          <w:szCs w:val="24"/>
        </w:rPr>
        <w:t>»</w:t>
      </w:r>
      <w:r w:rsidR="00A27479" w:rsidRPr="001C0904">
        <w:rPr>
          <w:color w:val="000000" w:themeColor="text1"/>
          <w:sz w:val="24"/>
          <w:szCs w:val="24"/>
        </w:rPr>
        <w:t>;</w:t>
      </w:r>
      <w:proofErr w:type="gramEnd"/>
    </w:p>
    <w:p w:rsidR="00EE508D" w:rsidRDefault="00EE508D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50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абзац второй пункта 1.11 дополнить словами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EE50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а также иных нормативных правовых актов Правительства Российской Федерации, утверждающих номенклатуру должностей работников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EE50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E508D" w:rsidRDefault="004247D4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EE508D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791F7A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50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разделе </w:t>
      </w:r>
      <w:r w:rsidR="00EE508D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II</w:t>
      </w:r>
      <w:r w:rsidR="00EE508D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A27479" w:rsidRPr="001C0904" w:rsidRDefault="00EE508D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пункт 2.2 признать утратившим силу;</w:t>
      </w:r>
    </w:p>
    <w:p w:rsidR="00A26CBF" w:rsidRDefault="00A26CBF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403F98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пункт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е 2.3:</w:t>
      </w:r>
    </w:p>
    <w:p w:rsidR="00A26CBF" w:rsidRDefault="00A26CBF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 таблице:</w:t>
      </w:r>
    </w:p>
    <w:p w:rsidR="00A26CBF" w:rsidRDefault="00A26CBF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позиции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первого уровня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A26CBF" w:rsidRDefault="00A26CBF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 графе 3 цифры «</w:t>
      </w:r>
      <w:r w:rsidRPr="00E43D8D">
        <w:rPr>
          <w:rFonts w:ascii="Times New Roman" w:eastAsia="Times New Roman" w:hAnsi="Times New Roman"/>
          <w:sz w:val="24"/>
          <w:szCs w:val="24"/>
          <w:lang w:eastAsia="ru-RU"/>
        </w:rPr>
        <w:t>4426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заменить цифрами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6383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26CBF" w:rsidRDefault="00A26CBF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позиции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второго уровня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A26CBF" w:rsidRPr="00A26CBF" w:rsidRDefault="00A26CBF" w:rsidP="00A26C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графу 2 изложить в следующей редакции:</w:t>
      </w:r>
    </w:p>
    <w:p w:rsidR="00A26CBF" w:rsidRPr="00A26CBF" w:rsidRDefault="00A26CBF" w:rsidP="00A26C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1 квалификационный уровень</w:t>
      </w:r>
    </w:p>
    <w:p w:rsidR="00A26CBF" w:rsidRDefault="00A26CBF" w:rsidP="00A26C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2 квалификационный уровень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26CBF" w:rsidRDefault="00A26CBF" w:rsidP="00A26C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графу 3 изложить в следующей редакции: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7870 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>7870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26CBF" w:rsidRDefault="00A26CBF" w:rsidP="00A26C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позиции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Профессиональная квалификационная группа должностей педагогических работников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26CB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графу 2</w:t>
      </w: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1 квалификационный уровень 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2 квалификационный уровень 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3 квалификационный уровень </w:t>
      </w:r>
    </w:p>
    <w:p w:rsid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>4 квалификационный уровень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>графу 3 изложить в следующей редакции:</w:t>
      </w:r>
    </w:p>
    <w:p w:rsid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8050 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8050 </w:t>
      </w:r>
    </w:p>
    <w:p w:rsidR="00A26CBF" w:rsidRPr="00A26CBF" w:rsidRDefault="00A26CBF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BF">
        <w:rPr>
          <w:rFonts w:ascii="Times New Roman" w:eastAsia="Times New Roman" w:hAnsi="Times New Roman"/>
          <w:sz w:val="24"/>
          <w:szCs w:val="24"/>
          <w:lang w:eastAsia="ru-RU"/>
        </w:rPr>
        <w:t xml:space="preserve">8050 </w:t>
      </w:r>
    </w:p>
    <w:p w:rsidR="00A26CBF" w:rsidRDefault="00A94324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8834»</w:t>
      </w:r>
      <w:r w:rsidR="005826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26F3" w:rsidRDefault="005826F3" w:rsidP="00A26C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6F3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позиции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826F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 квалификационная группа должностей руководителей структурных подразделений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826F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графу 2 изложить в следующей редакции: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1 квалификационный уровень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2 квалификационный уровень</w:t>
      </w:r>
    </w:p>
    <w:p w:rsidR="00A90CBA" w:rsidRDefault="00A90CBA" w:rsidP="00A90CBA">
      <w:pPr>
        <w:tabs>
          <w:tab w:val="left" w:pos="456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3 квалификационный уровень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0CBA" w:rsidRDefault="00A90CBA" w:rsidP="00A90CBA">
      <w:pPr>
        <w:tabs>
          <w:tab w:val="left" w:pos="456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графу 3 изложить в следующей редакции:</w:t>
      </w:r>
    </w:p>
    <w:p w:rsid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 xml:space="preserve">8659 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 xml:space="preserve">9508 </w:t>
      </w:r>
    </w:p>
    <w:p w:rsid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10424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158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абзац второй признать утратившим силу;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абзацем следующего содержания: </w:t>
      </w:r>
    </w:p>
    <w:p w:rsidR="00A90CBA" w:rsidRPr="00A90CBA" w:rsidRDefault="00A90CBA" w:rsidP="00A90C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окладов (ставок)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</w:t>
      </w:r>
      <w:proofErr w:type="gramStart"/>
      <w:r w:rsidRPr="00A90CBA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A90CBA" w:rsidRDefault="00A90CBA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2.4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31D57" w:rsidRDefault="00A90CBA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абзац пятый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признать </w:t>
      </w:r>
      <w:r w:rsidR="00431D57" w:rsidRPr="001C0904">
        <w:rPr>
          <w:rFonts w:ascii="Times New Roman" w:hAnsi="Times New Roman"/>
          <w:color w:val="000000" w:themeColor="text1"/>
          <w:sz w:val="24"/>
          <w:szCs w:val="24"/>
        </w:rPr>
        <w:t>утрати</w:t>
      </w:r>
      <w:r>
        <w:rPr>
          <w:rFonts w:ascii="Times New Roman" w:hAnsi="Times New Roman"/>
          <w:color w:val="000000" w:themeColor="text1"/>
          <w:sz w:val="24"/>
          <w:szCs w:val="24"/>
        </w:rPr>
        <w:t>вшим силу;</w:t>
      </w:r>
    </w:p>
    <w:p w:rsidR="00A90CBA" w:rsidRPr="001C0904" w:rsidRDefault="00A90CBA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0CBA">
        <w:rPr>
          <w:rFonts w:ascii="Times New Roman" w:hAnsi="Times New Roman"/>
          <w:color w:val="000000" w:themeColor="text1"/>
          <w:sz w:val="24"/>
          <w:szCs w:val="24"/>
        </w:rPr>
        <w:t xml:space="preserve">в абзаце седьмом слова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A90CBA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>5 - 2.9</w:t>
      </w:r>
      <w:r w:rsidRPr="00A90CBA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Положения" заменить словами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A90CBA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90CBA">
        <w:rPr>
          <w:rFonts w:ascii="Times New Roman" w:hAnsi="Times New Roman"/>
          <w:color w:val="000000" w:themeColor="text1"/>
          <w:sz w:val="24"/>
          <w:szCs w:val="24"/>
        </w:rPr>
        <w:t xml:space="preserve"> - 2.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90CBA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90CB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91B97" w:rsidRPr="001C0904" w:rsidRDefault="009F70DC" w:rsidP="001C090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пункт 2.7. изложить в следующей редакции:</w:t>
      </w:r>
    </w:p>
    <w:p w:rsidR="009F70DC" w:rsidRPr="001C0904" w:rsidRDefault="009F70DC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>«2.7. Педагогическим работникам, работникам учебно-вспомогательного персонала, научным работникам, профессорско-преподавательскому составу,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работ, непосредственно связанных с образовательной деятельностью, выполняемых по их письменному согласию. К таким видам работ относятся проверка письменных работ, руководство методическими объединениями, заведование учебными кабинетами (включая кабинет профориентации, информатики, спортивный зал), лабораториями, архивом, учебными мастерскими и учебно-опытными участками.</w:t>
      </w:r>
    </w:p>
    <w:p w:rsidR="009F70DC" w:rsidRPr="001C0904" w:rsidRDefault="009F70DC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>За классное руководство выплачивается ежемесячное вознаграждение в размере, установленном нормативными правовыми актами Российской Федерации и нормативными правовыми актами Чувашской Республики.</w:t>
      </w:r>
    </w:p>
    <w:p w:rsidR="009F70DC" w:rsidRPr="001C0904" w:rsidRDefault="009F70DC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>Рекомендуемые размеры персональных коэффициентов:</w:t>
      </w:r>
    </w:p>
    <w:p w:rsidR="009F70DC" w:rsidRPr="001C0904" w:rsidRDefault="009F70DC" w:rsidP="001C090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3648"/>
        <w:gridCol w:w="2041"/>
      </w:tblGrid>
      <w:tr w:rsidR="001C0904" w:rsidRPr="001C0904" w:rsidTr="00A24694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 xml:space="preserve">Профессиональные квалификационные группы </w:t>
            </w:r>
            <w:r w:rsidRPr="001C0904">
              <w:rPr>
                <w:color w:val="000000" w:themeColor="text1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 xml:space="preserve">Размеры коэффициентов к </w:t>
            </w:r>
            <w:r w:rsidRPr="001C0904">
              <w:rPr>
                <w:color w:val="000000" w:themeColor="text1"/>
                <w:sz w:val="24"/>
                <w:szCs w:val="24"/>
              </w:rPr>
              <w:lastRenderedPageBreak/>
              <w:t>окладам (ставкам)</w:t>
            </w:r>
          </w:p>
        </w:tc>
      </w:tr>
      <w:tr w:rsidR="001C0904" w:rsidRPr="001C0904" w:rsidTr="00A24694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C0904" w:rsidRPr="001C0904" w:rsidTr="00A24694">
        <w:tc>
          <w:tcPr>
            <w:tcW w:w="3348" w:type="dxa"/>
            <w:tcBorders>
              <w:top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0,02</w:t>
            </w:r>
          </w:p>
        </w:tc>
      </w:tr>
      <w:tr w:rsidR="001C0904" w:rsidRPr="001C0904" w:rsidTr="00A24694">
        <w:tc>
          <w:tcPr>
            <w:tcW w:w="3348" w:type="dxa"/>
            <w:vMerge w:val="restart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648" w:type="dxa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41" w:type="dxa"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0,05</w:t>
            </w:r>
          </w:p>
        </w:tc>
      </w:tr>
      <w:tr w:rsidR="001C0904" w:rsidRPr="001C0904" w:rsidTr="00A24694">
        <w:tc>
          <w:tcPr>
            <w:tcW w:w="3348" w:type="dxa"/>
            <w:vMerge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41" w:type="dxa"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0,10</w:t>
            </w:r>
          </w:p>
        </w:tc>
      </w:tr>
      <w:tr w:rsidR="001C0904" w:rsidRPr="001C0904" w:rsidTr="00A24694">
        <w:tc>
          <w:tcPr>
            <w:tcW w:w="3348" w:type="dxa"/>
            <w:vMerge w:val="restart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648" w:type="dxa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41" w:type="dxa"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0,12</w:t>
            </w:r>
          </w:p>
        </w:tc>
      </w:tr>
      <w:tr w:rsidR="001C0904" w:rsidRPr="001C0904" w:rsidTr="00A24694">
        <w:tc>
          <w:tcPr>
            <w:tcW w:w="3348" w:type="dxa"/>
            <w:vMerge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41" w:type="dxa"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0,15</w:t>
            </w:r>
          </w:p>
        </w:tc>
      </w:tr>
      <w:tr w:rsidR="001C0904" w:rsidRPr="001C0904" w:rsidTr="00A24694">
        <w:tc>
          <w:tcPr>
            <w:tcW w:w="3348" w:type="dxa"/>
            <w:vMerge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41" w:type="dxa"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0,18</w:t>
            </w:r>
          </w:p>
        </w:tc>
      </w:tr>
      <w:tr w:rsidR="001C0904" w:rsidRPr="001C0904" w:rsidTr="00A24694">
        <w:tc>
          <w:tcPr>
            <w:tcW w:w="3348" w:type="dxa"/>
            <w:vMerge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:rsidR="001D3579" w:rsidRPr="001C0904" w:rsidRDefault="001D3579" w:rsidP="001C090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41" w:type="dxa"/>
          </w:tcPr>
          <w:p w:rsidR="001D3579" w:rsidRPr="001C0904" w:rsidRDefault="001D3579" w:rsidP="001C09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0904">
              <w:rPr>
                <w:color w:val="000000" w:themeColor="text1"/>
                <w:sz w:val="24"/>
                <w:szCs w:val="24"/>
              </w:rPr>
              <w:t>до 0,20</w:t>
            </w:r>
          </w:p>
        </w:tc>
      </w:tr>
    </w:tbl>
    <w:p w:rsidR="001D3579" w:rsidRPr="001C0904" w:rsidRDefault="001D3579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>Решение об установлении персонального коэффициента, его размерах принимается руководителем учреждения персонально в отношении каждого работника. Персональный коэффициент не применяется при оплате труда педагогических работников за установленную при тарификации учебную нагрузку (педагогическую работу).</w:t>
      </w:r>
    </w:p>
    <w:p w:rsidR="001D3579" w:rsidRPr="001C0904" w:rsidRDefault="001D3579" w:rsidP="001C09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color w:val="000000" w:themeColor="text1"/>
          <w:sz w:val="24"/>
          <w:szCs w:val="24"/>
        </w:rPr>
        <w:t>Применение персонального коэффициента не учитывается при начислении иных стимулирующих и компенсационных выплат, устанавливаемых в процентном отно</w:t>
      </w:r>
      <w:r w:rsidR="009704FF">
        <w:rPr>
          <w:color w:val="000000" w:themeColor="text1"/>
          <w:sz w:val="24"/>
          <w:szCs w:val="24"/>
        </w:rPr>
        <w:t>шении к размеру оклада (ставки)</w:t>
      </w:r>
      <w:proofErr w:type="gramStart"/>
      <w:r w:rsidR="00442D7B">
        <w:rPr>
          <w:color w:val="000000" w:themeColor="text1"/>
          <w:sz w:val="24"/>
          <w:szCs w:val="24"/>
        </w:rPr>
        <w:t>.</w:t>
      </w:r>
      <w:r w:rsidR="009704FF">
        <w:rPr>
          <w:color w:val="000000" w:themeColor="text1"/>
          <w:sz w:val="24"/>
          <w:szCs w:val="24"/>
        </w:rPr>
        <w:t>»</w:t>
      </w:r>
      <w:proofErr w:type="gramEnd"/>
      <w:r w:rsidR="009704FF">
        <w:rPr>
          <w:color w:val="000000" w:themeColor="text1"/>
          <w:sz w:val="24"/>
          <w:szCs w:val="24"/>
        </w:rPr>
        <w:t>;</w:t>
      </w:r>
    </w:p>
    <w:p w:rsidR="00303ED3" w:rsidRPr="001C0904" w:rsidRDefault="00303ED3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пункт 2.8 </w:t>
      </w:r>
      <w:r w:rsidR="009704FF">
        <w:rPr>
          <w:rFonts w:ascii="Times New Roman" w:hAnsi="Times New Roman"/>
          <w:color w:val="000000" w:themeColor="text1"/>
          <w:sz w:val="24"/>
          <w:szCs w:val="24"/>
        </w:rPr>
        <w:t xml:space="preserve">признать 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>утрати</w:t>
      </w:r>
      <w:r w:rsidR="009704FF">
        <w:rPr>
          <w:rFonts w:ascii="Times New Roman" w:hAnsi="Times New Roman"/>
          <w:color w:val="000000" w:themeColor="text1"/>
          <w:sz w:val="24"/>
          <w:szCs w:val="24"/>
        </w:rPr>
        <w:t>вшим силу;</w:t>
      </w:r>
    </w:p>
    <w:p w:rsidR="0095246D" w:rsidRPr="001C0904" w:rsidRDefault="009704FF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03ED3" w:rsidRPr="001C0904">
        <w:rPr>
          <w:rFonts w:ascii="Times New Roman" w:hAnsi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03ED3"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2.9</w:t>
      </w:r>
      <w:r w:rsidR="00442D7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03ED3"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3ED3" w:rsidRPr="001C0904" w:rsidRDefault="00303ED3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в абзаце первом слова «и  коэфф</w:t>
      </w:r>
      <w:r w:rsidR="0001581C">
        <w:rPr>
          <w:rFonts w:ascii="Times New Roman" w:hAnsi="Times New Roman"/>
          <w:color w:val="000000" w:themeColor="text1"/>
          <w:sz w:val="24"/>
          <w:szCs w:val="24"/>
        </w:rPr>
        <w:t>ициенту за сложность» исключить;</w:t>
      </w:r>
    </w:p>
    <w:p w:rsidR="0095246D" w:rsidRPr="001C0904" w:rsidRDefault="0095246D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в абзаце четвертом слова «и  коэфф</w:t>
      </w:r>
      <w:r w:rsidR="0001581C">
        <w:rPr>
          <w:rFonts w:ascii="Times New Roman" w:hAnsi="Times New Roman"/>
          <w:color w:val="000000" w:themeColor="text1"/>
          <w:sz w:val="24"/>
          <w:szCs w:val="24"/>
        </w:rPr>
        <w:t>ициенту за сложность» исключить;</w:t>
      </w:r>
    </w:p>
    <w:p w:rsidR="009704FF" w:rsidRDefault="00D633D4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9704F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704FF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пункт</w:t>
      </w:r>
      <w:r w:rsidR="00442D7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3.1 раздела </w:t>
      </w:r>
      <w:r w:rsidRPr="001C0904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9704F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в таблице: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 xml:space="preserve">в позиции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Профессиональная квалификационная группа должностей служащих первого уровня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в графе 3:</w:t>
      </w:r>
    </w:p>
    <w:p w:rsidR="009704FF" w:rsidRDefault="009704FF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цифры 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4426</w:t>
      </w:r>
      <w:r>
        <w:rPr>
          <w:rFonts w:ascii="Times New Roman" w:hAnsi="Times New Roman"/>
          <w:color w:val="000000" w:themeColor="text1"/>
          <w:sz w:val="24"/>
          <w:szCs w:val="24"/>
        </w:rPr>
        <w:t>» заменить цифрами 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6383</w:t>
      </w:r>
      <w:r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9704FF" w:rsidRDefault="009704FF" w:rsidP="001C09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 xml:space="preserve">в позиции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Профессиональная квалификационная группа должностей служащих второго уровня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графу 2 изложить в следующей редакции: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1 квалификационный уровень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2 квалификационный уровень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3 квалификационный уровень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4 квалификационный уровень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5 квалификационный уровень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графу 3 изложить в следующей редакции: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7870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7870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7870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7870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8659</w:t>
      </w:r>
      <w:r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 xml:space="preserve">в позиции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Профессиональная квалификационная группа должностей служащих третьего уровня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lastRenderedPageBreak/>
        <w:t>графу 2 изложить в следующей редакции: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1 квалификационный уровень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2 квалификационный уровень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3 квалификационный уровень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4 квалификационный уровень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5 квалификационный уровень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704F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графу 3 изложить в следующей редакции:</w:t>
      </w:r>
    </w:p>
    <w:p w:rsidR="009704FF" w:rsidRPr="009704FF" w:rsidRDefault="00442D7B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04F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704FF" w:rsidRPr="009704FF">
        <w:rPr>
          <w:rFonts w:ascii="Times New Roman" w:hAnsi="Times New Roman"/>
          <w:color w:val="000000" w:themeColor="text1"/>
          <w:sz w:val="24"/>
          <w:szCs w:val="24"/>
        </w:rPr>
        <w:t>7106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7817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8576</w:t>
      </w:r>
    </w:p>
    <w:p w:rsidR="009704FF" w:rsidRP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10300</w:t>
      </w:r>
    </w:p>
    <w:p w:rsidR="009704FF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FF">
        <w:rPr>
          <w:rFonts w:ascii="Times New Roman" w:hAnsi="Times New Roman"/>
          <w:color w:val="000000" w:themeColor="text1"/>
          <w:sz w:val="24"/>
          <w:szCs w:val="24"/>
        </w:rPr>
        <w:t>10528</w:t>
      </w:r>
      <w:r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9704FF" w:rsidRPr="001C0904" w:rsidRDefault="009704FF" w:rsidP="009704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абзац второй признать утратившим силу;</w:t>
      </w:r>
    </w:p>
    <w:p w:rsidR="002D7C04" w:rsidRPr="001C0904" w:rsidRDefault="00D633D4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9704FF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2D7C04"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970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таблицу </w:t>
      </w:r>
      <w:r w:rsidR="002D7C04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пункт</w:t>
      </w:r>
      <w:r w:rsidR="009704F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2D7C04"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4.1. раздела </w:t>
      </w:r>
      <w:r w:rsidR="0001581C" w:rsidRPr="001C090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 w:rsidR="002D7C04" w:rsidRPr="001C090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V</w:t>
      </w:r>
      <w:r w:rsidR="002D7C04"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2D7C04" w:rsidRPr="001C0904" w:rsidRDefault="002D7C04" w:rsidP="001C09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4"/>
        <w:gridCol w:w="2614"/>
        <w:gridCol w:w="2959"/>
        <w:gridCol w:w="1947"/>
      </w:tblGrid>
      <w:tr w:rsidR="009704FF" w:rsidRPr="001C0904" w:rsidTr="00D50A1E">
        <w:tc>
          <w:tcPr>
            <w:tcW w:w="116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D7C04" w:rsidRPr="001C0904" w:rsidRDefault="009704FF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D7C04"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Квалификационные разряды в соответствии с Единым тарифно-квали</w:t>
            </w: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фи</w:t>
            </w: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</w:tbl>
    <w:p w:rsidR="002D7C04" w:rsidRPr="001C0904" w:rsidRDefault="002D7C04" w:rsidP="001C090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532"/>
        <w:gridCol w:w="2917"/>
        <w:gridCol w:w="2008"/>
      </w:tblGrid>
      <w:tr w:rsidR="001C0904" w:rsidRPr="001C0904" w:rsidTr="00D50A1E">
        <w:trPr>
          <w:tblHeader/>
        </w:trPr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C0904" w:rsidRPr="001C0904" w:rsidTr="00D50A1E"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квалификационная группа профессий рабочих первого уровня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4897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5386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5915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6511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0904" w:rsidRPr="001C0904" w:rsidTr="00D50A1E"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7C04" w:rsidRPr="001C0904" w:rsidTr="00D50A1E"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квалификационная группа профессий рабочих второго уровня 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04B2" w:rsidRPr="001C0904" w:rsidRDefault="001D04B2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квалификационный разряд 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 квалификационный разряд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6808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7232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7660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1D04B2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8083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04B2" w:rsidRPr="001C09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8576</w:t>
            </w:r>
            <w:r w:rsidR="009704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D7C04" w:rsidRPr="001C0904" w:rsidRDefault="002D7C04" w:rsidP="001C0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D7C04" w:rsidRPr="001C0904" w:rsidRDefault="002D7C04" w:rsidP="001C09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4EF9" w:rsidRPr="001C0904" w:rsidRDefault="002D7C04" w:rsidP="001C09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25F57" w:rsidRPr="001C0904" w:rsidRDefault="00225F57" w:rsidP="001C0904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9B44B6" w:rsidRPr="001C0904" w:rsidRDefault="009B44B6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установленном порядке на предоставление бюджетным учреждениям Шумерлинского 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субсидий на финансовое обеспечение выполнения ими 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муниципального задания на оказание муниципальных услуг (выполнение работ) физическим лицам, а также средств, поступающих от приносящей доход деятельности. </w:t>
      </w:r>
    </w:p>
    <w:p w:rsidR="009B44B6" w:rsidRPr="001C0904" w:rsidRDefault="00403F98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9B44B6"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Рекомендовать образовательным учреждениям Шумерлинского </w:t>
      </w:r>
      <w:r w:rsidR="007C7038" w:rsidRPr="001C0904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="009B44B6"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внести</w:t>
      </w:r>
      <w:r w:rsidR="009B44B6"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поправки в </w:t>
      </w:r>
      <w:r w:rsidR="009B44B6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аналогичные правовые акты об оплате труда работников</w:t>
      </w:r>
      <w:r w:rsidRPr="001C09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 настоящим постановлением</w:t>
      </w:r>
      <w:r w:rsidR="009B44B6" w:rsidRPr="001C090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26CBF" w:rsidRDefault="00403F98" w:rsidP="00CA7FF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C0904">
        <w:rPr>
          <w:bCs/>
          <w:color w:val="000000" w:themeColor="text1"/>
          <w:sz w:val="24"/>
          <w:szCs w:val="24"/>
        </w:rPr>
        <w:t>4</w:t>
      </w:r>
      <w:r w:rsidR="009B44B6" w:rsidRPr="001C0904">
        <w:rPr>
          <w:bCs/>
          <w:color w:val="000000" w:themeColor="text1"/>
          <w:sz w:val="24"/>
          <w:szCs w:val="24"/>
        </w:rPr>
        <w:t xml:space="preserve">. </w:t>
      </w:r>
      <w:r w:rsidR="00905EC0" w:rsidRPr="001C0904">
        <w:rPr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 в информационном издании «Вестник Шумер</w:t>
      </w:r>
      <w:r w:rsidR="00A26CBF">
        <w:rPr>
          <w:color w:val="000000" w:themeColor="text1"/>
          <w:sz w:val="24"/>
          <w:szCs w:val="24"/>
        </w:rPr>
        <w:t>линского муниципального округа» и</w:t>
      </w:r>
      <w:r w:rsidR="00905EC0" w:rsidRPr="001C0904">
        <w:rPr>
          <w:color w:val="000000" w:themeColor="text1"/>
          <w:sz w:val="24"/>
          <w:szCs w:val="24"/>
        </w:rPr>
        <w:t xml:space="preserve"> </w:t>
      </w:r>
      <w:r w:rsidR="00A26CBF" w:rsidRPr="001C0904">
        <w:rPr>
          <w:color w:val="000000" w:themeColor="text1"/>
          <w:sz w:val="24"/>
          <w:szCs w:val="24"/>
        </w:rPr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704FF" w:rsidRDefault="009704FF" w:rsidP="00CA7FF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Действие положений абзаца тридцать шестого</w:t>
      </w:r>
      <w:r w:rsidRPr="001C090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пункта 1.2. настоящего постановления</w:t>
      </w:r>
      <w:r w:rsidRPr="001C0904">
        <w:rPr>
          <w:color w:val="000000" w:themeColor="text1"/>
          <w:sz w:val="24"/>
          <w:szCs w:val="24"/>
        </w:rPr>
        <w:t xml:space="preserve"> </w:t>
      </w:r>
      <w:r w:rsidR="00905EC0" w:rsidRPr="001C0904">
        <w:rPr>
          <w:color w:val="000000" w:themeColor="text1"/>
          <w:sz w:val="24"/>
          <w:szCs w:val="24"/>
        </w:rPr>
        <w:t xml:space="preserve">распространяется на правоотношения, возникшие с 1 </w:t>
      </w:r>
      <w:r>
        <w:rPr>
          <w:color w:val="000000" w:themeColor="text1"/>
          <w:sz w:val="24"/>
          <w:szCs w:val="24"/>
        </w:rPr>
        <w:t>сентября</w:t>
      </w:r>
      <w:r w:rsidR="0001581C">
        <w:rPr>
          <w:color w:val="000000" w:themeColor="text1"/>
          <w:sz w:val="24"/>
          <w:szCs w:val="24"/>
        </w:rPr>
        <w:t xml:space="preserve"> 2022 года.</w:t>
      </w:r>
    </w:p>
    <w:p w:rsidR="00EE508D" w:rsidRDefault="009704FF" w:rsidP="00826A2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Действие положений абзацев</w:t>
      </w:r>
      <w:r w:rsidR="00826A21">
        <w:rPr>
          <w:color w:val="000000" w:themeColor="text1"/>
          <w:sz w:val="24"/>
          <w:szCs w:val="24"/>
        </w:rPr>
        <w:t xml:space="preserve"> шестого, одиннадцатого</w:t>
      </w:r>
      <w:r w:rsidR="00442D7B">
        <w:rPr>
          <w:color w:val="000000" w:themeColor="text1"/>
          <w:sz w:val="24"/>
          <w:szCs w:val="24"/>
        </w:rPr>
        <w:t xml:space="preserve"> </w:t>
      </w:r>
      <w:r w:rsidR="00826A21">
        <w:rPr>
          <w:color w:val="000000" w:themeColor="text1"/>
          <w:sz w:val="24"/>
          <w:szCs w:val="24"/>
        </w:rPr>
        <w:t>-</w:t>
      </w:r>
      <w:r w:rsidR="00442D7B">
        <w:rPr>
          <w:color w:val="000000" w:themeColor="text1"/>
          <w:sz w:val="24"/>
          <w:szCs w:val="24"/>
        </w:rPr>
        <w:t xml:space="preserve"> </w:t>
      </w:r>
      <w:r w:rsidR="00826A21">
        <w:rPr>
          <w:color w:val="000000" w:themeColor="text1"/>
          <w:sz w:val="24"/>
          <w:szCs w:val="24"/>
        </w:rPr>
        <w:t xml:space="preserve">тринадцатого, двадцатого </w:t>
      </w:r>
      <w:proofErr w:type="gramStart"/>
      <w:r w:rsidR="00826A21">
        <w:rPr>
          <w:color w:val="000000" w:themeColor="text1"/>
          <w:sz w:val="24"/>
          <w:szCs w:val="24"/>
        </w:rPr>
        <w:t>-д</w:t>
      </w:r>
      <w:proofErr w:type="gramEnd"/>
      <w:r w:rsidR="00826A21">
        <w:rPr>
          <w:color w:val="000000" w:themeColor="text1"/>
          <w:sz w:val="24"/>
          <w:szCs w:val="24"/>
        </w:rPr>
        <w:t>вадцать четвертого, тридцатого - тридцать третьего</w:t>
      </w:r>
      <w:r w:rsidR="00442D7B">
        <w:rPr>
          <w:color w:val="000000" w:themeColor="text1"/>
          <w:sz w:val="24"/>
          <w:szCs w:val="24"/>
        </w:rPr>
        <w:t xml:space="preserve"> пункта 1.2</w:t>
      </w:r>
      <w:r w:rsidR="00826A21">
        <w:rPr>
          <w:color w:val="000000" w:themeColor="text1"/>
          <w:sz w:val="24"/>
          <w:szCs w:val="24"/>
        </w:rPr>
        <w:t>,</w:t>
      </w:r>
      <w:r w:rsidR="00442D7B">
        <w:rPr>
          <w:color w:val="000000" w:themeColor="text1"/>
          <w:sz w:val="24"/>
          <w:szCs w:val="24"/>
        </w:rPr>
        <w:t xml:space="preserve"> абзацев пятого, тринадцатого – восемнадцатого, двадцать шестого – тридцать первого пункта 1.3., абзаца первого пункта 1.4.</w:t>
      </w:r>
      <w:r w:rsidR="00826A21">
        <w:rPr>
          <w:color w:val="000000" w:themeColor="text1"/>
          <w:sz w:val="24"/>
          <w:szCs w:val="24"/>
        </w:rPr>
        <w:t xml:space="preserve"> </w:t>
      </w:r>
      <w:r w:rsidR="00826A21" w:rsidRPr="00826A21">
        <w:rPr>
          <w:color w:val="000000" w:themeColor="text1"/>
          <w:sz w:val="24"/>
          <w:szCs w:val="24"/>
        </w:rPr>
        <w:t xml:space="preserve">настоящего постановления распространяется на правоотношения, </w:t>
      </w:r>
      <w:r w:rsidR="00826A21">
        <w:rPr>
          <w:color w:val="000000" w:themeColor="text1"/>
          <w:sz w:val="24"/>
          <w:szCs w:val="24"/>
        </w:rPr>
        <w:t>возникшие с 1 октября 2022 года</w:t>
      </w:r>
      <w:r w:rsidR="00CA7FF2">
        <w:rPr>
          <w:color w:val="000000" w:themeColor="text1"/>
          <w:sz w:val="24"/>
          <w:szCs w:val="24"/>
        </w:rPr>
        <w:t>.</w:t>
      </w:r>
    </w:p>
    <w:p w:rsidR="00905EC0" w:rsidRPr="001C0904" w:rsidRDefault="00905EC0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25F57" w:rsidRPr="001C0904" w:rsidRDefault="00225F57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25F57" w:rsidRPr="001C0904" w:rsidRDefault="00225F57" w:rsidP="001C09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23C6D" w:rsidRPr="001C0904" w:rsidRDefault="00123C6D" w:rsidP="001C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Глава Шумерлинского </w:t>
      </w:r>
    </w:p>
    <w:p w:rsidR="00123C6D" w:rsidRPr="001C0904" w:rsidRDefault="00123C6D" w:rsidP="001C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</w:p>
    <w:p w:rsidR="00123C6D" w:rsidRPr="001C0904" w:rsidRDefault="00123C6D" w:rsidP="001C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       </w:t>
      </w:r>
      <w:r w:rsidR="00231F20"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Л.Г.</w:t>
      </w:r>
      <w:r w:rsidR="00C159EA"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0904">
        <w:rPr>
          <w:rFonts w:ascii="Times New Roman" w:hAnsi="Times New Roman"/>
          <w:color w:val="000000" w:themeColor="text1"/>
          <w:sz w:val="24"/>
          <w:szCs w:val="24"/>
        </w:rPr>
        <w:t xml:space="preserve">Рафинов   </w:t>
      </w:r>
    </w:p>
    <w:p w:rsidR="00403F98" w:rsidRPr="001C0904" w:rsidRDefault="00403F98" w:rsidP="001C090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3F98" w:rsidRPr="001C0904" w:rsidRDefault="00403F98" w:rsidP="001C090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43D8D" w:rsidRPr="001C0904" w:rsidRDefault="00E43D8D" w:rsidP="001C090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43D8D" w:rsidRPr="001C0904" w:rsidSect="00225F57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581C"/>
    <w:rsid w:val="0002266A"/>
    <w:rsid w:val="00056D62"/>
    <w:rsid w:val="000D0936"/>
    <w:rsid w:val="00123C6D"/>
    <w:rsid w:val="00134A6A"/>
    <w:rsid w:val="001C0904"/>
    <w:rsid w:val="001D04B2"/>
    <w:rsid w:val="001D3579"/>
    <w:rsid w:val="001F2B10"/>
    <w:rsid w:val="00225F57"/>
    <w:rsid w:val="002302E8"/>
    <w:rsid w:val="00231F20"/>
    <w:rsid w:val="002A20D9"/>
    <w:rsid w:val="002B6720"/>
    <w:rsid w:val="002D7C04"/>
    <w:rsid w:val="00303ED3"/>
    <w:rsid w:val="0033034A"/>
    <w:rsid w:val="003428F3"/>
    <w:rsid w:val="0035024E"/>
    <w:rsid w:val="003849D6"/>
    <w:rsid w:val="003B1BA4"/>
    <w:rsid w:val="003B3ADC"/>
    <w:rsid w:val="003B3FDD"/>
    <w:rsid w:val="003E6FB6"/>
    <w:rsid w:val="00401285"/>
    <w:rsid w:val="00403F98"/>
    <w:rsid w:val="00415C33"/>
    <w:rsid w:val="004247D4"/>
    <w:rsid w:val="00431D57"/>
    <w:rsid w:val="00442D7B"/>
    <w:rsid w:val="004500FF"/>
    <w:rsid w:val="004B4E48"/>
    <w:rsid w:val="004B65BB"/>
    <w:rsid w:val="004D538B"/>
    <w:rsid w:val="004E32D2"/>
    <w:rsid w:val="004F4F4C"/>
    <w:rsid w:val="00506C26"/>
    <w:rsid w:val="005140F9"/>
    <w:rsid w:val="00543188"/>
    <w:rsid w:val="005826F3"/>
    <w:rsid w:val="005B5898"/>
    <w:rsid w:val="005F20BB"/>
    <w:rsid w:val="005F2C40"/>
    <w:rsid w:val="00602E73"/>
    <w:rsid w:val="00610750"/>
    <w:rsid w:val="0061337A"/>
    <w:rsid w:val="00616755"/>
    <w:rsid w:val="006918D6"/>
    <w:rsid w:val="006942CE"/>
    <w:rsid w:val="006973E8"/>
    <w:rsid w:val="006C42F1"/>
    <w:rsid w:val="00726B99"/>
    <w:rsid w:val="00747ABE"/>
    <w:rsid w:val="00753BF2"/>
    <w:rsid w:val="00791F7A"/>
    <w:rsid w:val="00793DD5"/>
    <w:rsid w:val="007C639F"/>
    <w:rsid w:val="007C7038"/>
    <w:rsid w:val="007F3A5B"/>
    <w:rsid w:val="007F7BB9"/>
    <w:rsid w:val="00800882"/>
    <w:rsid w:val="008014CB"/>
    <w:rsid w:val="0082551A"/>
    <w:rsid w:val="00826A21"/>
    <w:rsid w:val="008275E8"/>
    <w:rsid w:val="008530A4"/>
    <w:rsid w:val="00853E44"/>
    <w:rsid w:val="0087296E"/>
    <w:rsid w:val="00905EC0"/>
    <w:rsid w:val="0095246D"/>
    <w:rsid w:val="009577ED"/>
    <w:rsid w:val="009704FF"/>
    <w:rsid w:val="00975E6D"/>
    <w:rsid w:val="0098368E"/>
    <w:rsid w:val="00987A0A"/>
    <w:rsid w:val="00991B97"/>
    <w:rsid w:val="009B0574"/>
    <w:rsid w:val="009B06A1"/>
    <w:rsid w:val="009B44B6"/>
    <w:rsid w:val="009B5286"/>
    <w:rsid w:val="009B6311"/>
    <w:rsid w:val="009D5EA9"/>
    <w:rsid w:val="009F4BB1"/>
    <w:rsid w:val="009F70DC"/>
    <w:rsid w:val="00A1295B"/>
    <w:rsid w:val="00A26CBF"/>
    <w:rsid w:val="00A27479"/>
    <w:rsid w:val="00A539AC"/>
    <w:rsid w:val="00A6689C"/>
    <w:rsid w:val="00A90CBA"/>
    <w:rsid w:val="00A94324"/>
    <w:rsid w:val="00B53B1E"/>
    <w:rsid w:val="00B6469C"/>
    <w:rsid w:val="00C159EA"/>
    <w:rsid w:val="00C24D7B"/>
    <w:rsid w:val="00C5450A"/>
    <w:rsid w:val="00C64215"/>
    <w:rsid w:val="00CA7FF2"/>
    <w:rsid w:val="00CB79AB"/>
    <w:rsid w:val="00CC014F"/>
    <w:rsid w:val="00CE58DF"/>
    <w:rsid w:val="00D2533A"/>
    <w:rsid w:val="00D4086D"/>
    <w:rsid w:val="00D54CF2"/>
    <w:rsid w:val="00D633D4"/>
    <w:rsid w:val="00D756E5"/>
    <w:rsid w:val="00DB6D20"/>
    <w:rsid w:val="00DE605E"/>
    <w:rsid w:val="00E34D08"/>
    <w:rsid w:val="00E43D8D"/>
    <w:rsid w:val="00E43EA8"/>
    <w:rsid w:val="00E73EAD"/>
    <w:rsid w:val="00E8179C"/>
    <w:rsid w:val="00E92EB2"/>
    <w:rsid w:val="00E96581"/>
    <w:rsid w:val="00EE508D"/>
    <w:rsid w:val="00F44EF9"/>
    <w:rsid w:val="00F47234"/>
    <w:rsid w:val="00F53082"/>
    <w:rsid w:val="00F64320"/>
    <w:rsid w:val="00FB24EA"/>
    <w:rsid w:val="00FC0EF4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4</cp:revision>
  <cp:lastPrinted>2022-11-28T07:56:00Z</cp:lastPrinted>
  <dcterms:created xsi:type="dcterms:W3CDTF">2022-11-25T14:29:00Z</dcterms:created>
  <dcterms:modified xsi:type="dcterms:W3CDTF">2022-12-15T12:36:00Z</dcterms:modified>
</cp:coreProperties>
</file>