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</w:p>
    <w:tbl>
      <w:tblPr>
        <w:tblW w:w="962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"/>
        <w:gridCol w:w="1919"/>
        <w:gridCol w:w="240"/>
        <w:gridCol w:w="915"/>
        <w:gridCol w:w="1134"/>
        <w:gridCol w:w="762"/>
        <w:gridCol w:w="477"/>
        <w:gridCol w:w="1803"/>
        <w:gridCol w:w="240"/>
        <w:gridCol w:w="546"/>
        <w:gridCol w:w="783"/>
        <w:gridCol w:w="369"/>
      </w:tblGrid>
      <w:tr>
        <w:tblPrEx/>
        <w:trPr>
          <w:trHeight w:val="322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58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58"/>
              <w:ind w:left="-10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13970</wp:posOffset>
                      </wp:positionV>
                      <wp:extent cx="734060" cy="721360"/>
                      <wp:effectExtent l="0" t="0" r="0" b="0"/>
                      <wp:wrapNone/>
                      <wp:docPr id="1" name="_x0000_s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4060" cy="72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text;margin-left:211.00pt;mso-position-horizontal:absolute;mso-position-vertical-relative:text;margin-top:1.10pt;mso-position-vertical:absolute;width:57.80pt;height:56.80pt;mso-wrap-distance-left:9.00pt;mso-wrap-distance-top:0.00pt;mso-wrap-distance-right:9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ЧӐВАШ РЕСПУБЛИКИН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58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ЦИФРА АТАЛАНĂВĔПЕ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58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ИНФОРМАЦИ ПОЛИТИКИН ТАТА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58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МАССӐЛЛӐ КОММУНИКАЦИСЕН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58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МИНИСТЕРСТВИ</w:t>
            </w: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 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МИНИСТЕРСТВО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58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ЦИФРОВОГО РАЗВИТИЯ,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58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ИНФОРМАЦИОННОЙ ПОЛИТИКИ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58"/>
              <w:jc w:val="center"/>
              <w:rPr>
                <w:rFonts w:ascii="PT Astra Serif" w:hAnsi="PT Astra Serif" w:cs="PT Astra Serif"/>
                <w:b/>
                <w:caps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И МАССОВЫХ КОММУНИКАЦИЙ </w:t>
            </w:r>
            <w:r>
              <w:rPr>
                <w:rFonts w:ascii="PT Astra Serif" w:hAnsi="PT Astra Serif" w:cs="PT Astra Serif"/>
                <w:b/>
                <w:caps/>
              </w:rPr>
            </w:r>
            <w:r>
              <w:rPr>
                <w:rFonts w:ascii="PT Astra Serif" w:hAnsi="PT Astra Serif" w:cs="PT Astra Serif"/>
                <w:b/>
                <w:caps/>
              </w:rPr>
            </w:r>
          </w:p>
          <w:p>
            <w:pPr>
              <w:pStyle w:val="858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ЧУВАШСКОЙ РЕСПУБЛИКИ</w:t>
            </w:r>
            <w:r>
              <w:rPr>
                <w:rFonts w:ascii="PT Astra Serif" w:hAnsi="PT Astra Serif" w:eastAsia="PT Astra Serif" w:cs="PT Astra Serif"/>
                <w:b/>
                <w:caps/>
              </w:rPr>
              <w:t xml:space="preserve"> 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before="100" w:beforeAutospacing="1" w:after="100" w:afterAutospacing="1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szCs w:val="26"/>
                <w:lang w:val="ru-RU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szCs w:val="26"/>
              </w:rPr>
            </w:r>
            <w:r>
              <w:rPr>
                <w:rFonts w:ascii="PT Astra Serif" w:hAnsi="PT Astra Serif" w:cs="PT Astra Serif"/>
                <w:b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before="100" w:beforeAutospacing="1" w:after="100" w:afterAutospacing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862"/>
              <w:jc w:val="center"/>
              <w:spacing w:before="100" w:beforeAutospacing="1" w:after="100" w:afterAutospacing="1"/>
              <w:rPr>
                <w:rFonts w:ascii="PT Astra Serif" w:hAnsi="PT Astra Serif" w:cs="PT Astra Serif"/>
                <w:b/>
                <w:i w:val="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i w:val="0"/>
                <w:sz w:val="26"/>
                <w:szCs w:val="26"/>
                <w:lang w:val="ru-RU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i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i w:val="0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91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915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8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№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80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6" w:type="dxa"/>
            <w:vAlign w:val="top"/>
            <w:textDirection w:val="lrTb"/>
            <w:noWrap w:val="false"/>
          </w:tcPr>
          <w:p>
            <w:pPr>
              <w:pStyle w:val="858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№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83" w:type="dxa"/>
            <w:vAlign w:val="top"/>
            <w:textDirection w:val="lrTb"/>
            <w:noWrap w:val="false"/>
          </w:tcPr>
          <w:p>
            <w:pPr>
              <w:pStyle w:val="858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top"/>
            <w:textDirection w:val="lrTb"/>
            <w:noWrap w:val="false"/>
          </w:tcPr>
          <w:p>
            <w:pPr>
              <w:pStyle w:val="858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Шупашкар хули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332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8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58"/>
              <w:ind w:right="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 внесении изменени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й в приказ Министе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ства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информационной по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тики и массовых ко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муникаций Чувашской Республики от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6 сентября 2017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г. №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5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80" w:type="dxa"/>
            <w:vAlign w:val="top"/>
            <w:textDirection w:val="lrTb"/>
            <w:noWrap w:val="false"/>
          </w:tcPr>
          <w:p>
            <w:pPr>
              <w:pStyle w:val="858"/>
              <w:ind w:left="-108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ind w:right="-42"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8"/>
        <w:ind w:right="-42"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8"/>
        <w:ind w:left="0" w:right="-42"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 р и к а з ы в а ю: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8"/>
        <w:ind w:left="0" w:right="-42" w:firstLine="567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Внести в Порядок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проведения конкурса на замещение вакантной должности руководителя государственного учреждения Чувашской Республики, находящегося в ведении Министерства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цифрового развития, информационной политики и массовых коммуникаций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Республики, и конкурса на включение в кадровый резерв на замещение должности руководителя государственного учрежде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ния Чувашской Республики, находящегося в ведении Министерства цифрового развития, информационной политики и массовых коммуникаций Чувашской Республики, утвержденный приказом Министерства информационной политики и массовых коммуникаций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от 6 сентября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2017 г.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(зарегистрирован в Министерстве юстиции и имущественных отношений Чувашской Республики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7 сентября 2017 г., регист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рационный № 3986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 (с изменениями, внесенными приказами Министерства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цифрового развития,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информационной политики и массовых коммуникаций Чувашской Республики от 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ноября 2019 г. 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245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(зарегистрирован в Министерстве юстиции и имущественных отношений Чувашской Респу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блики 28 ноября 2019 г., регистрационный № 5565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 14 мая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г. № 84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(зарегистрирован в Государственной службе Чувашско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й Республик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 по делам юстиции 10 июня 2020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г., регистрационный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6038), от 3 сентября 2020 г. № 197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(зарегистрирован в Государственной службе Чувашс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ко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й Республики по делам юстиции 18 сентября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2020 г., регистрационный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№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6274)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,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от 15 декабря 2023 г. № 212 (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зарегистрирован в Государственной службе Чувашско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й Республики по делам юстиции 25 января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2024 г., регистрационный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№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9075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)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,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следующи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 изменения: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0" w:right="-42" w:firstLine="567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в разделе II: 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8"/>
        <w:ind w:left="0" w:right="-42" w:firstLine="567"/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пункт 2.1 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изложить в следующей редакции: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ind w:left="0" w:right="-42" w:firstLine="567"/>
        <w:jc w:val="both"/>
        <w:rPr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 «2.1.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Для проведения конкурса приказом Министерства образуется конкурсная комиссия, действующая на постоянной основе.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</w:p>
    <w:p>
      <w:pPr>
        <w:ind w:left="0" w:right="-42" w:firstLine="567"/>
        <w:jc w:val="both"/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Конкурсная комиссия является коллегиальным органом и состоит из председателя, заместителя председателя, секретаря и членов конкурсной комиссии.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</w:p>
    <w:p>
      <w:pPr>
        <w:ind w:left="0" w:right="-42" w:firstLine="567"/>
        <w:jc w:val="both"/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В состав конкурсной комиссии входят: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</w:p>
    <w:p>
      <w:pPr>
        <w:ind w:left="0" w:right="-42" w:firstLine="567"/>
        <w:jc w:val="both"/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министр (председатель конкурсной комиссии)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;</w:t>
      </w:r>
      <w:r>
        <w:rPr>
          <w:rFonts w:ascii="PT Astra Serif" w:hAnsi="PT Astra Serif" w:cs="PT Astra Serif"/>
          <w:color w:val="000000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</w:p>
    <w:p>
      <w:pPr>
        <w:ind w:left="0" w:right="-42" w:firstLine="567"/>
        <w:jc w:val="both"/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уполномоченные министром государственные гражданские служащие Чувашской Республики Министерства (в том числе из организационно-правового отдела, финансово-экономического отдела Министерства)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;</w:t>
      </w:r>
      <w:r>
        <w:rPr>
          <w:rFonts w:ascii="PT Astra Serif" w:hAnsi="PT Astra Serif" w:cs="PT Astra Serif"/>
          <w:color w:val="000000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</w:p>
    <w:p>
      <w:pPr>
        <w:ind w:left="0" w:right="-42" w:firstLine="567"/>
        <w:jc w:val="both"/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представители Министерства экономического развития и имущественных отношений Чувашской Республики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, включаемые в сос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тав конкурсной комиссии по согласовани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ю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;</w:t>
      </w:r>
      <w:r>
        <w:rPr>
          <w:rFonts w:ascii="PT Astra Serif" w:hAnsi="PT Astra Serif" w:cs="PT Astra Serif"/>
          <w:color w:val="000000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</w:p>
    <w:p>
      <w:pPr>
        <w:ind w:left="0" w:right="-42" w:firstLine="567"/>
        <w:jc w:val="both"/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гражданские служащие, замещающие должности гражданской службы в Управлении государственной гражданской службы, кадровой политики и государственных наград Администрации Главы Чувашской Республики (далее - Управление кадров Администрации Главы Чувашской Респ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ублики) на основании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Соглашения о взаимодействии Администрации Главы Чувашской Республики и Министерства цифрового развития, информационной политики и массовых коммуникаций Чувашской Республики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в сфере кадровой работы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(далее - Соглашение), включаемые в сос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тав конкурсной комиссии по согласованию. </w:t>
      </w:r>
      <w:r>
        <w:rPr>
          <w:rFonts w:ascii="PT Astra Serif" w:hAnsi="PT Astra Serif" w:cs="PT Astra Serif"/>
          <w:color w:val="000000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</w:p>
    <w:p>
      <w:pPr>
        <w:ind w:left="0" w:right="-42" w:firstLine="567"/>
        <w:jc w:val="both"/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К работе конкурсной комиссии могут также привлекаться эксперты с правом совещательного голоса, представители иных исполнительных органов Чувашской Республики.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</w:p>
    <w:p>
      <w:pPr>
        <w:ind w:left="0" w:right="-42" w:firstLine="567"/>
        <w:jc w:val="both"/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Состав конкурсной комиссии утверждается приказом Министерства.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  <w:t xml:space="preserve">»;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white"/>
        </w:rPr>
      </w:r>
      <w:r>
        <w:rPr>
          <w:highlight w:val="white"/>
        </w:rPr>
      </w:r>
    </w:p>
    <w:p>
      <w:pPr>
        <w:ind w:left="0" w:right="-42" w:firstLine="567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абзаце втором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ункта 2.4.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слова «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организационно-правового отдела Министерства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 заменить словами «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Управления кадров Администрации Главы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0" w:right="-42" w:firstLine="567"/>
        <w:jc w:val="both"/>
        <w:spacing w:before="0" w:after="0" w:line="288" w:lineRule="atLeast"/>
        <w:rPr>
          <w:rFonts w:ascii="PT Astra Serif" w:hAnsi="PT Astra Serif" w:cs="PT Astra Serif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пункт 2.5.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изложить в следующей редакции: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 w:cs="PT Astra Serif"/>
          <w:color w:val="000000"/>
          <w:sz w:val="26"/>
          <w:szCs w:val="26"/>
        </w:rPr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ind w:left="0" w:right="-42" w:firstLine="567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«2.5. Организационно-техническое обеспечение деятельности конкурсной комиссии в соответствии с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Указом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Главы Чувашской Республики от 28 октября 2020 г. № 280 «О централизации отдельных функций, осуществляемых исполнительными органами Чувашской Республики», Соглашением осуществляет Управление кадров Администрации Главы Чувашской Республики.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»;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0" w:right="-42" w:firstLine="567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разделе II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I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0" w:right="-42" w:firstLine="567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пункте 3.3.: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0" w:right="-42" w:firstLine="567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абзаце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перовом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слова «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организационно-правовой отдел Министерства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 заменить словами «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Управление кадров Администрации Главы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0" w:right="-42" w:firstLine="567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во абзац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е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четвертом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слова «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  <w:t xml:space="preserve">организационно-правового отдела Министерства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 заменить словами «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  <w:t xml:space="preserve">Управления кадров Администрации Главы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0" w:right="-42" w:firstLine="567"/>
        <w:jc w:val="both"/>
        <w:spacing w:before="0" w:after="0" w:line="288" w:lineRule="atLeast"/>
        <w:rPr>
          <w:rFonts w:ascii="PT Astra Serif" w:hAnsi="PT Astra Serif" w:cs="PT Astra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абзаце двенадцатом слова «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организационно-правового отдела Министерства» заменить словами «Управления кадров Администрации Главы Чувашской Республики»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;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-42"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пункте 3.5.  слова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  <w:t xml:space="preserve">организационно-правового отдела Министерства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 заменить словами «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  <w:t xml:space="preserve">Уп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равления кадров Администрации Главы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»;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0" w:right="-42"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пункте 3.6. слова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Организационно-правовым отделом Министерства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 заменить словами «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Управлением кадров Администрации Главы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Министр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ab/>
        <w:tab/>
        <w:tab/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</w:t>
      </w:r>
      <w:r>
        <w:rPr>
          <w:rFonts w:ascii="PT Astra Serif" w:hAnsi="PT Astra Serif" w:eastAsia="PT Astra Serif" w:cs="PT Astra Serif"/>
          <w:sz w:val="26"/>
          <w:szCs w:val="26"/>
        </w:rPr>
        <w:tab/>
        <w:t xml:space="preserve">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М.В. Степанов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highlight w:val="none"/>
        </w:rPr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851" w:bottom="1134" w:left="1701" w:header="720" w:footer="284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Journal Chv">
    <w:panose1 w:val="02000603000000000000"/>
  </w:font>
  <w:font w:name="Calibri Light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lang w:val="ru-RU" w:eastAsia="ru-RU" w:bidi="ar-SA"/>
    </w:rPr>
  </w:style>
  <w:style w:type="paragraph" w:styleId="859">
    <w:name w:val="Заголовок 2"/>
    <w:basedOn w:val="858"/>
    <w:next w:val="858"/>
    <w:link w:val="884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860">
    <w:name w:val="Заголовок 4"/>
    <w:basedOn w:val="858"/>
    <w:next w:val="858"/>
    <w:link w:val="866"/>
    <w:qFormat/>
    <w:pPr>
      <w:keepNext/>
      <w:outlineLvl w:val="3"/>
    </w:pPr>
    <w:rPr>
      <w:sz w:val="26"/>
      <w:lang w:val="en-US"/>
    </w:rPr>
  </w:style>
  <w:style w:type="paragraph" w:styleId="861">
    <w:name w:val="Заголовок 7"/>
    <w:basedOn w:val="858"/>
    <w:next w:val="858"/>
    <w:link w:val="872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62">
    <w:name w:val="Заголовок 8"/>
    <w:basedOn w:val="858"/>
    <w:next w:val="858"/>
    <w:link w:val="867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/>
    </w:rPr>
  </w:style>
  <w:style w:type="character" w:styleId="863">
    <w:name w:val="Основной шрифт абзаца"/>
    <w:next w:val="863"/>
    <w:link w:val="858"/>
    <w:uiPriority w:val="1"/>
    <w:unhideWhenUsed/>
  </w:style>
  <w:style w:type="table" w:styleId="864">
    <w:name w:val="Обычная таблица"/>
    <w:next w:val="864"/>
    <w:link w:val="858"/>
    <w:uiPriority w:val="99"/>
    <w:semiHidden/>
    <w:unhideWhenUsed/>
    <w:qFormat/>
    <w:tblPr/>
  </w:style>
  <w:style w:type="numbering" w:styleId="865">
    <w:name w:val="Нет списка"/>
    <w:next w:val="865"/>
    <w:link w:val="858"/>
    <w:uiPriority w:val="99"/>
    <w:semiHidden/>
    <w:unhideWhenUsed/>
  </w:style>
  <w:style w:type="character" w:styleId="866">
    <w:name w:val="Заголовок 4 Знак"/>
    <w:next w:val="866"/>
    <w:link w:val="86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867">
    <w:name w:val="Заголовок 8 Знак"/>
    <w:next w:val="867"/>
    <w:link w:val="862"/>
    <w:semiHidden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868">
    <w:name w:val="Нижний колонтитул"/>
    <w:basedOn w:val="858"/>
    <w:next w:val="868"/>
    <w:link w:val="869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9">
    <w:name w:val="Нижний колонтитул Знак"/>
    <w:next w:val="869"/>
    <w:link w:val="86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0">
    <w:name w:val="Верхний колонтитул"/>
    <w:basedOn w:val="858"/>
    <w:next w:val="870"/>
    <w:link w:val="87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1">
    <w:name w:val="Верхний колонтитул Знак"/>
    <w:next w:val="871"/>
    <w:link w:val="870"/>
    <w:uiPriority w:val="99"/>
    <w:rPr>
      <w:rFonts w:ascii="Times New Roman" w:hAnsi="Times New Roman" w:eastAsia="Times New Roman"/>
    </w:rPr>
  </w:style>
  <w:style w:type="character" w:styleId="872">
    <w:name w:val="Заголовок 7 Знак"/>
    <w:next w:val="872"/>
    <w:link w:val="861"/>
    <w:uiPriority w:val="9"/>
    <w:semiHidden/>
    <w:rPr>
      <w:rFonts w:ascii="Calibri" w:hAnsi="Calibri" w:eastAsia="Times New Roman" w:cs="Times New Roman"/>
      <w:sz w:val="24"/>
      <w:szCs w:val="24"/>
    </w:rPr>
  </w:style>
  <w:style w:type="character" w:styleId="873">
    <w:name w:val="Гиперссылка"/>
    <w:next w:val="873"/>
    <w:link w:val="858"/>
    <w:uiPriority w:val="99"/>
    <w:semiHidden/>
    <w:unhideWhenUsed/>
    <w:rPr>
      <w:color w:val="0000ff"/>
      <w:u w:val="single"/>
    </w:rPr>
  </w:style>
  <w:style w:type="table" w:styleId="874">
    <w:name w:val="Сетка таблицы"/>
    <w:basedOn w:val="864"/>
    <w:next w:val="874"/>
    <w:link w:val="858"/>
    <w:uiPriority w:val="59"/>
    <w:tblPr/>
  </w:style>
  <w:style w:type="paragraph" w:styleId="875">
    <w:name w:val="Основной текст"/>
    <w:basedOn w:val="858"/>
    <w:next w:val="875"/>
    <w:link w:val="876"/>
    <w:unhideWhenUsed/>
    <w:rPr>
      <w:rFonts w:ascii="Journal Chv" w:hAnsi="Journal Chv"/>
      <w:sz w:val="36"/>
      <w:lang w:val="en-US" w:eastAsia="en-US"/>
    </w:rPr>
  </w:style>
  <w:style w:type="character" w:styleId="876">
    <w:name w:val="Основной текст Знак"/>
    <w:next w:val="876"/>
    <w:link w:val="875"/>
    <w:rPr>
      <w:rFonts w:ascii="Journal Chv" w:hAnsi="Journal Chv" w:eastAsia="Times New Roman"/>
      <w:sz w:val="36"/>
    </w:rPr>
  </w:style>
  <w:style w:type="paragraph" w:styleId="877">
    <w:name w:val="ConsPlusNonformat"/>
    <w:next w:val="877"/>
    <w:link w:val="85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78">
    <w:name w:val="Текст выноски"/>
    <w:basedOn w:val="858"/>
    <w:next w:val="878"/>
    <w:link w:val="879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79">
    <w:name w:val="Текст выноски Знак"/>
    <w:next w:val="879"/>
    <w:link w:val="878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80">
    <w:name w:val="ConsNonformat"/>
    <w:next w:val="880"/>
    <w:link w:val="858"/>
    <w:rPr>
      <w:rFonts w:ascii="Courier New" w:hAnsi="Courier New" w:eastAsia="Times New Roman" w:cs="Courier New"/>
      <w:lang w:val="ru-RU" w:eastAsia="ru-RU" w:bidi="ar-SA"/>
    </w:rPr>
  </w:style>
  <w:style w:type="paragraph" w:styleId="881">
    <w:name w:val="Основной текст с отступом"/>
    <w:basedOn w:val="858"/>
    <w:next w:val="881"/>
    <w:link w:val="882"/>
    <w:pPr>
      <w:ind w:left="283"/>
      <w:spacing w:after="120"/>
    </w:pPr>
    <w:rPr>
      <w:lang w:val="en-US" w:eastAsia="en-US"/>
    </w:rPr>
  </w:style>
  <w:style w:type="character" w:styleId="882">
    <w:name w:val="Основной текст с отступом Знак"/>
    <w:next w:val="882"/>
    <w:link w:val="881"/>
    <w:rPr>
      <w:rFonts w:ascii="Times New Roman" w:hAnsi="Times New Roman" w:eastAsia="Times New Roman"/>
    </w:rPr>
  </w:style>
  <w:style w:type="paragraph" w:styleId="883">
    <w:name w:val="ConsNormal"/>
    <w:next w:val="883"/>
    <w:link w:val="858"/>
    <w:pPr>
      <w:ind w:firstLine="720"/>
      <w:widowControl w:val="off"/>
    </w:pPr>
    <w:rPr>
      <w:rFonts w:ascii="Arial" w:hAnsi="Arial" w:eastAsia="Times New Roman"/>
      <w:sz w:val="24"/>
      <w:lang w:val="ru-RU" w:eastAsia="ru-RU" w:bidi="ar-SA"/>
    </w:rPr>
  </w:style>
  <w:style w:type="character" w:styleId="884">
    <w:name w:val="Заголовок 2 Знак"/>
    <w:next w:val="884"/>
    <w:link w:val="859"/>
    <w:uiPriority w:val="9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885">
    <w:name w:val="Знак примечания"/>
    <w:next w:val="885"/>
    <w:link w:val="858"/>
    <w:uiPriority w:val="99"/>
    <w:semiHidden/>
    <w:unhideWhenUsed/>
    <w:rPr>
      <w:sz w:val="16"/>
      <w:szCs w:val="16"/>
    </w:rPr>
  </w:style>
  <w:style w:type="paragraph" w:styleId="886">
    <w:name w:val="Текст примечания"/>
    <w:basedOn w:val="858"/>
    <w:next w:val="886"/>
    <w:link w:val="887"/>
    <w:uiPriority w:val="99"/>
    <w:semiHidden/>
    <w:unhideWhenUsed/>
  </w:style>
  <w:style w:type="character" w:styleId="887">
    <w:name w:val="Текст примечания Знак"/>
    <w:next w:val="887"/>
    <w:link w:val="886"/>
    <w:uiPriority w:val="99"/>
    <w:semiHidden/>
    <w:rPr>
      <w:rFonts w:ascii="Times New Roman" w:hAnsi="Times New Roman" w:eastAsia="Times New Roman"/>
    </w:rPr>
  </w:style>
  <w:style w:type="paragraph" w:styleId="888">
    <w:name w:val="Тема примечания"/>
    <w:basedOn w:val="886"/>
    <w:next w:val="886"/>
    <w:link w:val="889"/>
    <w:uiPriority w:val="99"/>
    <w:semiHidden/>
    <w:unhideWhenUsed/>
    <w:rPr>
      <w:b/>
      <w:bCs/>
    </w:rPr>
  </w:style>
  <w:style w:type="character" w:styleId="889">
    <w:name w:val="Тема примечания Знак"/>
    <w:next w:val="889"/>
    <w:link w:val="888"/>
    <w:uiPriority w:val="99"/>
    <w:semiHidden/>
    <w:rPr>
      <w:rFonts w:ascii="Times New Roman" w:hAnsi="Times New Roman" w:eastAsia="Times New Roman"/>
      <w:b/>
      <w:bCs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GKSI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info13</dc:creator>
  <cp:revision>6</cp:revision>
  <dcterms:created xsi:type="dcterms:W3CDTF">2023-12-05T09:26:00Z</dcterms:created>
  <dcterms:modified xsi:type="dcterms:W3CDTF">2025-01-28T05:42:07Z</dcterms:modified>
  <cp:version>983040</cp:version>
</cp:coreProperties>
</file>