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63" w:rsidRDefault="0082777F">
      <w:pPr>
        <w:keepLines/>
        <w:widowControl w:val="0"/>
        <w:tabs>
          <w:tab w:val="left" w:pos="4536"/>
        </w:tabs>
        <w:spacing w:after="0"/>
        <w:ind w:left="5812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Toc511915519"/>
      <w:bookmarkStart w:id="1" w:name="_Toc527125427"/>
      <w:r>
        <w:rPr>
          <w:rFonts w:ascii="Times New Roman" w:hAnsi="Times New Roman" w:cs="Times New Roman"/>
          <w:bCs/>
          <w:sz w:val="26"/>
          <w:szCs w:val="26"/>
        </w:rPr>
        <w:t>Приложение №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054F63" w:rsidRDefault="00054F63">
      <w:pPr>
        <w:keepLines/>
        <w:widowControl w:val="0"/>
        <w:tabs>
          <w:tab w:val="left" w:pos="4536"/>
        </w:tabs>
        <w:spacing w:after="0"/>
        <w:ind w:left="5812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54F63" w:rsidRDefault="0082777F">
      <w:pPr>
        <w:keepLines/>
        <w:widowControl w:val="0"/>
        <w:tabs>
          <w:tab w:val="left" w:pos="4536"/>
        </w:tabs>
        <w:spacing w:after="0"/>
        <w:ind w:left="5812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Утверждено</w:t>
      </w:r>
    </w:p>
    <w:p w:rsidR="00054F63" w:rsidRDefault="0082777F">
      <w:pPr>
        <w:spacing w:after="0"/>
        <w:ind w:left="5812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приказом АУ «ЦИТ» </w:t>
      </w:r>
      <w:r>
        <w:rPr>
          <w:rFonts w:ascii="Times New Roman" w:hAnsi="Times New Roman" w:cs="Times New Roman"/>
          <w:bCs/>
          <w:sz w:val="26"/>
          <w:szCs w:val="26"/>
        </w:rPr>
        <w:br/>
        <w:t>Минцифры Чувашии</w:t>
      </w:r>
    </w:p>
    <w:p w:rsidR="00054F63" w:rsidRDefault="0082777F">
      <w:pPr>
        <w:pStyle w:val="ae"/>
        <w:pBdr>
          <w:bottom w:val="none" w:sz="0" w:space="0" w:color="auto"/>
        </w:pBdr>
        <w:spacing w:after="0"/>
        <w:ind w:left="581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Hlk101941266"/>
      <w:r>
        <w:rPr>
          <w:rFonts w:ascii="Times New Roman" w:hAnsi="Times New Roman" w:cs="Times New Roman"/>
          <w:bCs/>
          <w:color w:val="auto"/>
          <w:sz w:val="26"/>
          <w:szCs w:val="26"/>
        </w:rPr>
        <w:t>от 21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.06.2023 № </w:t>
      </w:r>
      <w:bookmarkEnd w:id="2"/>
      <w:r>
        <w:rPr>
          <w:rFonts w:ascii="Times New Roman" w:hAnsi="Times New Roman" w:cs="Times New Roman"/>
          <w:bCs/>
          <w:color w:val="auto"/>
          <w:sz w:val="26"/>
          <w:szCs w:val="26"/>
        </w:rPr>
        <w:t>74</w:t>
      </w:r>
      <w:bookmarkStart w:id="3" w:name="_GoBack"/>
      <w:bookmarkEnd w:id="3"/>
    </w:p>
    <w:p w:rsidR="00054F63" w:rsidRDefault="00054F63">
      <w:pPr>
        <w:pStyle w:val="a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54F63" w:rsidRDefault="0082777F">
      <w:pPr>
        <w:pStyle w:val="a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Регламент</w:t>
      </w:r>
    </w:p>
    <w:p w:rsidR="00054F63" w:rsidRDefault="0082777F">
      <w:pPr>
        <w:pStyle w:val="a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подключения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pStyle w:val="1"/>
        <w:numPr>
          <w:ilvl w:val="0"/>
          <w:numId w:val="0"/>
        </w:numPr>
      </w:pPr>
    </w:p>
    <w:p w:rsidR="00054F63" w:rsidRDefault="0082777F">
      <w:pPr>
        <w:pStyle w:val="1"/>
      </w:pPr>
      <w:r>
        <w:t>Общие положения</w:t>
      </w:r>
      <w:bookmarkEnd w:id="0"/>
      <w:bookmarkEnd w:id="1"/>
    </w:p>
    <w:p w:rsidR="00054F63" w:rsidRDefault="00054F6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54F63" w:rsidRDefault="0082777F">
      <w:pPr>
        <w:pStyle w:val="210"/>
      </w:pPr>
      <w:r>
        <w:t xml:space="preserve">Регламент подключения к </w:t>
      </w:r>
      <w:r>
        <w:rPr>
          <w:color w:val="000000" w:themeColor="text1"/>
          <w:szCs w:val="26"/>
        </w:rPr>
        <w:t>единой централизованной информационной системе бюджетного (бухгалтерского) учета и отчетности</w:t>
      </w:r>
      <w:r>
        <w:t xml:space="preserve"> (далее соответственно – Регламент) определяет общий состав, содержание и порядок выполнения мероприятий, необходимых для подключения к единой централизованной инф</w:t>
      </w:r>
      <w:r>
        <w:t>ормационной системе бюджетного (бухгалтерского) учета и отчетности.</w:t>
      </w:r>
    </w:p>
    <w:p w:rsidR="00054F63" w:rsidRDefault="0082777F">
      <w:pPr>
        <w:pStyle w:val="210"/>
        <w:widowControl w:val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В настоящем Регламенте используются следующие понятия: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единая централизованная информационная система бюджетного (бухгалтерского) учета и отчетности </w:t>
      </w:r>
      <w:r>
        <w:rPr>
          <w:bCs/>
          <w:szCs w:val="26"/>
        </w:rPr>
        <w:t>(далее – ЕЦИС) – информационная система</w:t>
      </w:r>
      <w:r>
        <w:rPr>
          <w:bCs/>
          <w:szCs w:val="26"/>
        </w:rPr>
        <w:t>, обеспечивающая построение эффективной системы централизованного бюджетного (бухгалтерского) учета и отчетности в государственных органах Чувашской Республики, государственных учреждениях Чувашской Республики, подведомственных органам государственной влас</w:t>
      </w:r>
      <w:r>
        <w:rPr>
          <w:bCs/>
          <w:szCs w:val="26"/>
        </w:rPr>
        <w:t>ти Чувашской Республики, а в муниципальных учреждениях - в соответствии с соглашениями между муниципальными районами и городскими округами и оператором инфраструктуры ЕЦИС о взаимодействии;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инфраструктура </w:t>
      </w:r>
      <w:r>
        <w:rPr>
          <w:bCs/>
          <w:szCs w:val="26"/>
        </w:rPr>
        <w:t>ЕЦИС – технологически и территориально обособленные</w:t>
      </w:r>
      <w:r>
        <w:rPr>
          <w:bCs/>
          <w:szCs w:val="26"/>
        </w:rPr>
        <w:t xml:space="preserve"> серверные комплексы, размещенные в Республиканском центре обработки данных, включающие в себя серверное и коммуникационное оборудование, системы хранения и резервного копирования данных и иные вспомогательные системы</w:t>
      </w:r>
      <w:r>
        <w:rPr>
          <w:szCs w:val="26"/>
        </w:rPr>
        <w:t>;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оператор ЕЦИС – казенное учреждение Ч</w:t>
      </w:r>
      <w:r>
        <w:rPr>
          <w:szCs w:val="26"/>
        </w:rPr>
        <w:t>увашской Республики «Республиканский центр бухгалтерского учета», государственный орган Чувашской Республики, государственное учреждение Чувашской Республики, подведомственное органу государственной власти Чувашской Республики, функции по бюджетному (бухга</w:t>
      </w:r>
      <w:r>
        <w:rPr>
          <w:szCs w:val="26"/>
        </w:rPr>
        <w:t>лтерскому) учету и отчетности которого не переданы казенному учреждению Чувашской Республики «Республиканский центр бухгалтерского учета» либо централизованной бухгалтерии подведомственной органу исполнительной власти Чувашской Республики, централизованная</w:t>
      </w:r>
      <w:r>
        <w:rPr>
          <w:szCs w:val="26"/>
        </w:rPr>
        <w:t xml:space="preserve"> бухгалтерия подведомственных органу исполнительной власти Чувашской Республики учреждений, находящаяся в его ведении, централизованная бухгалтерия муниципального района (городского округа) в соответствии с соглашением.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пользователь ЕЦИС – уполномоченное о</w:t>
      </w:r>
      <w:r>
        <w:rPr>
          <w:szCs w:val="26"/>
        </w:rPr>
        <w:t>ператором ЕЦИС должностное лицо, получившее в установленном порядке доступ к ЕЦИС и выполняющее обработку информации в ЕЦИС;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технический оператор инфраструктуры ЕЦИС </w:t>
      </w:r>
      <w:r>
        <w:rPr>
          <w:szCs w:val="26"/>
        </w:rPr>
        <w:t xml:space="preserve">– автономное учреждение Чувашской Республики «Центр информационных технологий» Министерства цифрового развития, </w:t>
      </w:r>
      <w:r>
        <w:rPr>
          <w:szCs w:val="26"/>
        </w:rPr>
        <w:lastRenderedPageBreak/>
        <w:t>информационной политики и массовых коммуникаций Чувашской Республики.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Иные понятия и термины, используемые в настоящем Регламенте, применяются в значениях, определенных федеральными законами «Об информации, информационных технологиях и о защите информации», «О персональных данных», </w:t>
      </w:r>
      <w:r>
        <w:rPr>
          <w:color w:val="000000" w:themeColor="text1"/>
          <w:szCs w:val="26"/>
        </w:rPr>
        <w:t>«Об электронной подписи» и принимаемыми в с</w:t>
      </w:r>
      <w:r>
        <w:rPr>
          <w:color w:val="000000" w:themeColor="text1"/>
          <w:szCs w:val="26"/>
        </w:rPr>
        <w:t>оответствии с ними нормативными правовыми актами, а также постановлением Кабинета Министров Чувашской Республики от 28 декабря 2018 года № 583 «Об утверждении Положения об инфраструктуре единой централизованной информационной системы бюджетного (бухгалтерс</w:t>
      </w:r>
      <w:r>
        <w:rPr>
          <w:color w:val="000000" w:themeColor="text1"/>
          <w:szCs w:val="26"/>
        </w:rPr>
        <w:t>кого) учета и отчетности».</w:t>
      </w:r>
    </w:p>
    <w:p w:rsidR="00054F63" w:rsidRDefault="0082777F">
      <w:pPr>
        <w:pStyle w:val="210"/>
        <w:widowControl w:val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Основной целью Регламента является определение необходимых мероприятий по обеспечению информационной безопасности, проводимых оператором ЕЦИС при организации подключения автоматизированных рабочих мест, предназначенных для обеспе</w:t>
      </w:r>
      <w:r>
        <w:rPr>
          <w:color w:val="000000" w:themeColor="text1"/>
          <w:szCs w:val="26"/>
        </w:rPr>
        <w:t>чения информационного взаимодействия с ЕЦИС (далее – АРМ оператора ЕЦИС) по защищенным с использованием шифровальных (криптографических) средств каналам передачи данных (далее также – защищенное информационное взаимодействие), регистрации должностных лиц о</w:t>
      </w:r>
      <w:r>
        <w:rPr>
          <w:color w:val="000000" w:themeColor="text1"/>
          <w:szCs w:val="26"/>
        </w:rPr>
        <w:t>ператора ЕЦИС в качестве пользователей ЕЦИС и получении ими необходимых прав доступа для работы в ЕЦИС.</w:t>
      </w:r>
    </w:p>
    <w:p w:rsidR="00054F63" w:rsidRDefault="0082777F">
      <w:pPr>
        <w:pStyle w:val="210"/>
        <w:widowControl w:val="0"/>
        <w:rPr>
          <w:color w:val="000000" w:themeColor="text1"/>
          <w:szCs w:val="26"/>
        </w:rPr>
      </w:pPr>
      <w:r>
        <w:rPr>
          <w:szCs w:val="26"/>
        </w:rPr>
        <w:t>Принимаемые оператором ЕЦИС меры по защите информации при её обработке в ЕЦИС, в том числе при подключении АРМ оператора ЕЦИС к ЕЦИС и организации досту</w:t>
      </w:r>
      <w:r>
        <w:rPr>
          <w:szCs w:val="26"/>
        </w:rPr>
        <w:t>па должностных лиц оператора ЕЦИС для работы в ЕЦИС, должны соответствовать требованиям федеральных законов «Об информации, информационных технологиях и о защите информации», «О персональных данных», принимаемым в соответствии с ними нормативным правовым а</w:t>
      </w:r>
      <w:r>
        <w:rPr>
          <w:szCs w:val="26"/>
        </w:rPr>
        <w:t xml:space="preserve">ктам, методическим и руководящим документов </w:t>
      </w:r>
      <w:r>
        <w:rPr>
          <w:color w:val="000000" w:themeColor="text1"/>
          <w:szCs w:val="26"/>
        </w:rPr>
        <w:t xml:space="preserve">Федеральной службы по техническому и экспортному контролю (далее – ФСТЭК России) и Федеральной службы безопасности Российской Федерации (далее – ФСБ России) </w:t>
      </w:r>
      <w:r>
        <w:rPr>
          <w:szCs w:val="26"/>
        </w:rPr>
        <w:t>в области защиты информации и настоящим Регламентом.</w:t>
      </w:r>
    </w:p>
    <w:p w:rsidR="00054F63" w:rsidRDefault="0082777F">
      <w:pPr>
        <w:pStyle w:val="210"/>
        <w:widowControl w:val="0"/>
        <w:rPr>
          <w:color w:val="000000" w:themeColor="text1"/>
          <w:szCs w:val="26"/>
        </w:rPr>
      </w:pPr>
      <w:r>
        <w:rPr>
          <w:szCs w:val="26"/>
        </w:rPr>
        <w:t xml:space="preserve">В </w:t>
      </w:r>
      <w:r>
        <w:rPr>
          <w:szCs w:val="26"/>
        </w:rPr>
        <w:t>соответствии с Требованиями о защите информации, не составляющей государственную тайну, содержащейся в государственных информационных системах, утвержденных приказом ФСТЭК России от 11 февраля 2013 года № 17, Составом и содержанием организационных и технич</w:t>
      </w:r>
      <w:r>
        <w:rPr>
          <w:szCs w:val="26"/>
        </w:rPr>
        <w:t>еских мер по обеспечению безопасности персональных данных при их обработке в информационных системах персональных данных, утвержденных приказом ФСТЭК России от 18 февраля 2013 года № 21, Составом и содержанием организационных и технических мер по обеспечен</w:t>
      </w:r>
      <w:r>
        <w:rPr>
          <w:szCs w:val="26"/>
        </w:rPr>
        <w:t>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</w:t>
      </w:r>
      <w:r>
        <w:rPr>
          <w:szCs w:val="26"/>
        </w:rPr>
        <w:t>е персональных данных для каждого из уровней защищенности, утвержденных приказом ФСБ России от 10 июля 2014 года № 378, при обработке информации в информационных системах персональных данных и её передаче по сетям связи общего пользования, в том числе инфо</w:t>
      </w:r>
      <w:r>
        <w:rPr>
          <w:szCs w:val="26"/>
        </w:rPr>
        <w:t>рмационно-телекоммуникационной сети Интернет (далее – сеть Интернет),  должны применятся сертифицированные по требованиям безопасности информации средства защиты информации и средства криптографической защиты информации (далее также – СКЗИ).</w:t>
      </w:r>
    </w:p>
    <w:p w:rsidR="00054F63" w:rsidRDefault="0082777F">
      <w:pPr>
        <w:pStyle w:val="210"/>
        <w:widowControl w:val="0"/>
        <w:rPr>
          <w:color w:val="000000" w:themeColor="text1"/>
          <w:szCs w:val="26"/>
        </w:rPr>
      </w:pPr>
      <w:r>
        <w:rPr>
          <w:szCs w:val="26"/>
        </w:rPr>
        <w:t>Применяемые ор</w:t>
      </w:r>
      <w:r>
        <w:rPr>
          <w:szCs w:val="26"/>
        </w:rPr>
        <w:t>ганизационные и технические меры защиты информации должны удовлетворять требованиям, установленным для 3 класса защищенности государственных информационных систем и требованиям, установленным для 4 уровня защищенности персональных данных.</w:t>
      </w:r>
    </w:p>
    <w:p w:rsidR="00054F63" w:rsidRDefault="00054F63">
      <w:pPr>
        <w:pStyle w:val="210"/>
        <w:widowControl w:val="0"/>
        <w:numPr>
          <w:ilvl w:val="0"/>
          <w:numId w:val="0"/>
        </w:numPr>
        <w:ind w:firstLine="709"/>
        <w:rPr>
          <w:color w:val="000000" w:themeColor="text1"/>
          <w:szCs w:val="26"/>
        </w:rPr>
      </w:pPr>
    </w:p>
    <w:p w:rsidR="00054F63" w:rsidRDefault="0082777F">
      <w:pPr>
        <w:pStyle w:val="1"/>
      </w:pPr>
      <w:bookmarkStart w:id="4" w:name="_Toc511915521"/>
      <w:bookmarkStart w:id="5" w:name="_Toc527125429"/>
      <w:r>
        <w:lastRenderedPageBreak/>
        <w:t>Требования к реа</w:t>
      </w:r>
      <w:r>
        <w:t xml:space="preserve">лизации </w:t>
      </w:r>
      <w:bookmarkEnd w:id="4"/>
      <w:bookmarkEnd w:id="5"/>
      <w:r>
        <w:t>организационных и технических мероприятий по обеспечению защиты информации</w:t>
      </w:r>
    </w:p>
    <w:p w:rsidR="00054F63" w:rsidRDefault="00054F63">
      <w:pPr>
        <w:keepNext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4F63" w:rsidRDefault="0082777F">
      <w:pPr>
        <w:pStyle w:val="210"/>
        <w:keepNext/>
        <w:rPr>
          <w:szCs w:val="26"/>
        </w:rPr>
      </w:pPr>
      <w:r>
        <w:rPr>
          <w:szCs w:val="26"/>
        </w:rPr>
        <w:t>В целях организации защищенного информационного взаимодействия с ЕЦИС оператор ЕЦИС обеспечивает реализацию организационных и технических мероприятий по обеспечению безопас</w:t>
      </w:r>
      <w:r>
        <w:rPr>
          <w:szCs w:val="26"/>
        </w:rPr>
        <w:t>ности персональных данных и иной информации ограниченного доступа (далее – защищаемая информация) при её обработке на АРМ оператора ЕЦИС.</w:t>
      </w:r>
    </w:p>
    <w:p w:rsidR="00054F63" w:rsidRDefault="0082777F">
      <w:pPr>
        <w:pStyle w:val="210"/>
        <w:widowControl w:val="0"/>
        <w:rPr>
          <w:szCs w:val="26"/>
        </w:rPr>
      </w:pPr>
      <w:r>
        <w:rPr>
          <w:szCs w:val="26"/>
        </w:rPr>
        <w:t>Организационные мероприятия по обеспечению защиты информации должны включать: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назначение должностных лиц, ответственны</w:t>
      </w:r>
      <w:r>
        <w:rPr>
          <w:szCs w:val="26"/>
        </w:rPr>
        <w:t>х за обеспечение информационного взаимодействия с ЕЦИС (пользователей ЕЦИС);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организацию режима обеспечения безопасности помещений, в которых размещены технические и программные средства, участвующие в обработке защищаемой информации, а также помещений, гд</w:t>
      </w:r>
      <w:r>
        <w:rPr>
          <w:szCs w:val="26"/>
        </w:rPr>
        <w:t>е используются или хранятся средства защиты информации и СКЗИ, носители защищаемой информации, в том числе носители персональных данных, носители ключевой, аутентифицирующей и парольной информации (далее – защищаемое помещение);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rFonts w:eastAsiaTheme="minorHAnsi"/>
          <w:szCs w:val="26"/>
        </w:rPr>
      </w:pPr>
      <w:r>
        <w:rPr>
          <w:rFonts w:eastAsiaTheme="minorHAnsi"/>
          <w:szCs w:val="26"/>
        </w:rPr>
        <w:t>обеспечение сохранности нос</w:t>
      </w:r>
      <w:r>
        <w:rPr>
          <w:rFonts w:eastAsiaTheme="minorHAnsi"/>
          <w:szCs w:val="26"/>
        </w:rPr>
        <w:t xml:space="preserve">ителей персональных данных и иной </w:t>
      </w:r>
      <w:r>
        <w:rPr>
          <w:szCs w:val="26"/>
        </w:rPr>
        <w:t>защищаемой информации</w:t>
      </w:r>
      <w:r>
        <w:rPr>
          <w:rFonts w:eastAsiaTheme="minorHAnsi"/>
          <w:szCs w:val="26"/>
        </w:rPr>
        <w:t>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rFonts w:eastAsiaTheme="minorHAnsi"/>
          <w:szCs w:val="26"/>
        </w:rPr>
      </w:pPr>
      <w:r>
        <w:rPr>
          <w:szCs w:val="26"/>
        </w:rPr>
        <w:t>принятие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rFonts w:eastAsiaTheme="minorHAnsi"/>
          <w:szCs w:val="26"/>
        </w:rPr>
      </w:pPr>
      <w:r>
        <w:rPr>
          <w:szCs w:val="26"/>
        </w:rPr>
        <w:t>принятие</w:t>
      </w:r>
      <w:r>
        <w:rPr>
          <w:szCs w:val="26"/>
        </w:rPr>
        <w:t xml:space="preserve"> мер, направленных на </w:t>
      </w:r>
      <w:r>
        <w:rPr>
          <w:rFonts w:eastAsiaTheme="minorHAnsi"/>
          <w:szCs w:val="26"/>
        </w:rPr>
        <w:t>обеспечение защиты информации и безопасности персональных данных при их обработке в информационных системах</w:t>
      </w:r>
      <w:r>
        <w:rPr>
          <w:szCs w:val="26"/>
        </w:rPr>
        <w:t>.</w:t>
      </w:r>
    </w:p>
    <w:p w:rsidR="00054F63" w:rsidRDefault="0082777F">
      <w:pPr>
        <w:pStyle w:val="211"/>
        <w:widowControl w:val="0"/>
        <w:rPr>
          <w:szCs w:val="26"/>
        </w:rPr>
      </w:pPr>
      <w:r>
        <w:rPr>
          <w:szCs w:val="26"/>
        </w:rPr>
        <w:t>Обеспечиваемый режим безопасности защищаемых помещений должен исключать возможность неконтролируемого проникновения или пребы</w:t>
      </w:r>
      <w:r>
        <w:rPr>
          <w:szCs w:val="26"/>
        </w:rPr>
        <w:t>вания в данных помещениях, лиц, не имеющих права доступа в защищаемые помещения. Организация обеспечения режима безопасности защищаемых помещений достигается путем: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оснащения защищаемых помещений входными дверьми с замками, обеспечения постоянного закрытия</w:t>
      </w:r>
      <w:r>
        <w:rPr>
          <w:szCs w:val="26"/>
        </w:rPr>
        <w:t xml:space="preserve"> дверей защищаемых помещений на замок и их открытия только для санкционированного прохода, а также опечатывания защищаемых помещений по окончании рабочего дня или оборудование защищаемых помещений соответствующими техническими устройствами, сигнализирующим</w:t>
      </w:r>
      <w:r>
        <w:rPr>
          <w:szCs w:val="26"/>
        </w:rPr>
        <w:t>и о несанкционированном вскрытии защищаемых помещений;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утверждения правил доступа в защищаемые помещения в рабочее и нерабочее время, а также в нештатных ситуациях;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утверждения перечня лиц, имеющих право доступа в защищаемые помещения.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В целях организации </w:t>
      </w:r>
      <w:r>
        <w:rPr>
          <w:szCs w:val="26"/>
        </w:rPr>
        <w:t>режима обеспечения безопасности помещений рекомендуется разработать и утвердить соответствующий документ, определяющий меры по обеспечению безопасности защищаемых помещений.</w:t>
      </w:r>
    </w:p>
    <w:p w:rsidR="00054F63" w:rsidRDefault="0082777F">
      <w:pPr>
        <w:pStyle w:val="211"/>
        <w:widowControl w:val="0"/>
        <w:rPr>
          <w:szCs w:val="26"/>
        </w:rPr>
      </w:pPr>
      <w:r>
        <w:rPr>
          <w:rFonts w:eastAsiaTheme="minorHAnsi"/>
          <w:szCs w:val="26"/>
        </w:rPr>
        <w:t xml:space="preserve">В целях обеспечения сохранности носителей персональных данных и иной </w:t>
      </w:r>
      <w:r>
        <w:rPr>
          <w:szCs w:val="26"/>
        </w:rPr>
        <w:t>защищаемой ин</w:t>
      </w:r>
      <w:r>
        <w:rPr>
          <w:szCs w:val="26"/>
        </w:rPr>
        <w:t>формации необходимо: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осуществлять хранение съемных машинных носителей, содержащих защищаемую информацию,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</w:t>
      </w:r>
      <w:r>
        <w:rPr>
          <w:szCs w:val="26"/>
        </w:rPr>
        <w:t>важин или кодовыми замками. В случае если на съемном машинном носителе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осуществлять поэкземплярный учет </w:t>
      </w:r>
      <w:r>
        <w:rPr>
          <w:szCs w:val="26"/>
        </w:rPr>
        <w:t>машинных носителей, содержащих защищаемую информацию, который достигается путем ведения соответствующего журнала учета носителей с использованием регистрационных (заводских) номеров.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rFonts w:eastAsiaTheme="minorHAnsi"/>
          <w:szCs w:val="26"/>
        </w:rPr>
      </w:pPr>
      <w:r>
        <w:rPr>
          <w:szCs w:val="26"/>
        </w:rPr>
        <w:t>Рекомендуется разработать и утвердить документ, определяющий порядок испо</w:t>
      </w:r>
      <w:r>
        <w:rPr>
          <w:szCs w:val="26"/>
        </w:rPr>
        <w:t xml:space="preserve">льзования </w:t>
      </w:r>
      <w:r>
        <w:rPr>
          <w:rFonts w:eastAsiaTheme="minorHAnsi"/>
          <w:szCs w:val="26"/>
        </w:rPr>
        <w:t xml:space="preserve">носителей </w:t>
      </w:r>
      <w:r>
        <w:rPr>
          <w:szCs w:val="26"/>
        </w:rPr>
        <w:t xml:space="preserve">защищаемой информации и меры по </w:t>
      </w:r>
      <w:r>
        <w:rPr>
          <w:rFonts w:eastAsiaTheme="minorHAnsi"/>
          <w:szCs w:val="26"/>
        </w:rPr>
        <w:t>обеспечению их сохранности.</w:t>
      </w:r>
    </w:p>
    <w:p w:rsidR="00054F63" w:rsidRDefault="0082777F">
      <w:pPr>
        <w:pStyle w:val="211"/>
        <w:widowControl w:val="0"/>
        <w:rPr>
          <w:szCs w:val="26"/>
        </w:rPr>
      </w:pPr>
      <w:r>
        <w:rPr>
          <w:szCs w:val="26"/>
        </w:rPr>
        <w:t>В целях принятия</w:t>
      </w:r>
      <w:r>
        <w:rPr>
          <w:szCs w:val="26"/>
        </w:rPr>
        <w:t xml:space="preserve">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необходимо разработать, утвердить и поддерживать в актуальном состоянии д</w:t>
      </w:r>
      <w:r>
        <w:rPr>
          <w:szCs w:val="26"/>
        </w:rPr>
        <w:t>окументы, определяющие: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ответственного за организацию обработки персональных данных;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регламент (инструкцию) ответственного за организацию обработки персональных данных;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политику в отношении обработки персональных данных;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формы документов, необходимых в цел</w:t>
      </w:r>
      <w:r>
        <w:rPr>
          <w:szCs w:val="26"/>
        </w:rPr>
        <w:t>ях выполнения требований законодательства Российской Федерации в области обработки персональных данных;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перечень лиц, доступ которых к персональным данным и иной защищаемой информации, обрабатываемой в информационной системе, необходим для выполнения ими с</w:t>
      </w:r>
      <w:r>
        <w:rPr>
          <w:szCs w:val="26"/>
        </w:rPr>
        <w:t>лужебных (трудовых) обязанностей.</w:t>
      </w:r>
    </w:p>
    <w:p w:rsidR="00054F63" w:rsidRDefault="0082777F">
      <w:pPr>
        <w:pStyle w:val="211"/>
        <w:widowControl w:val="0"/>
        <w:rPr>
          <w:szCs w:val="26"/>
        </w:rPr>
      </w:pPr>
      <w:r>
        <w:rPr>
          <w:szCs w:val="26"/>
        </w:rPr>
        <w:t>В целях принятия мер, направленных на обеспечение защиты информации и безопасности персональных данных при их обработке в информационных системах, необходимо разработать, утвердить и поддерживать в актуальном состоянии док</w:t>
      </w:r>
      <w:r>
        <w:rPr>
          <w:szCs w:val="26"/>
        </w:rPr>
        <w:t>ументы, определяющие: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ответственного за обеспечение безопасности защищаемой информации при её обработке в информационных системах;</w:t>
      </w:r>
    </w:p>
    <w:p w:rsidR="00054F63" w:rsidRDefault="0082777F">
      <w:pPr>
        <w:pStyle w:val="211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регламент (инструкцию) ответственного за обеспечение безопасности защищаемой информации при её обработке в информационных сис</w:t>
      </w:r>
      <w:r>
        <w:rPr>
          <w:szCs w:val="26"/>
        </w:rPr>
        <w:t>темах;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мер, направленных на выполнение требований законодательства Российской Федерации в области защиты персональных данных с использованием средств криптографической защиты</w:t>
      </w:r>
    </w:p>
    <w:p w:rsidR="00054F63" w:rsidRDefault="0082777F">
      <w:pPr>
        <w:pStyle w:val="210"/>
        <w:widowControl w:val="0"/>
        <w:rPr>
          <w:szCs w:val="26"/>
        </w:rPr>
      </w:pPr>
      <w:r>
        <w:rPr>
          <w:szCs w:val="26"/>
        </w:rPr>
        <w:t>Технические мероприятия по обеспечению защиты информации должны включать</w:t>
      </w:r>
      <w:r>
        <w:rPr>
          <w:szCs w:val="26"/>
        </w:rPr>
        <w:t>:</w:t>
      </w:r>
    </w:p>
    <w:p w:rsidR="00054F63" w:rsidRDefault="0082777F">
      <w:pPr>
        <w:pStyle w:val="1111"/>
        <w:widowControl w:val="0"/>
        <w:numPr>
          <w:ilvl w:val="0"/>
          <w:numId w:val="0"/>
        </w:numPr>
        <w:tabs>
          <w:tab w:val="clear" w:pos="1701"/>
          <w:tab w:val="left" w:pos="993"/>
        </w:tabs>
        <w:ind w:firstLine="709"/>
        <w:rPr>
          <w:szCs w:val="26"/>
        </w:rPr>
      </w:pPr>
      <w:r>
        <w:rPr>
          <w:szCs w:val="26"/>
        </w:rPr>
        <w:t>установку и настройку средства антивирусной защиты;</w:t>
      </w:r>
    </w:p>
    <w:p w:rsidR="00054F63" w:rsidRDefault="0082777F">
      <w:pPr>
        <w:pStyle w:val="1111"/>
        <w:widowControl w:val="0"/>
        <w:numPr>
          <w:ilvl w:val="0"/>
          <w:numId w:val="0"/>
        </w:numPr>
        <w:tabs>
          <w:tab w:val="clear" w:pos="1701"/>
          <w:tab w:val="left" w:pos="993"/>
        </w:tabs>
        <w:ind w:firstLine="709"/>
        <w:rPr>
          <w:szCs w:val="26"/>
        </w:rPr>
      </w:pPr>
      <w:r>
        <w:rPr>
          <w:szCs w:val="26"/>
        </w:rPr>
        <w:t>установку и настройку СКЗИ и средств электронной подписи;</w:t>
      </w:r>
    </w:p>
    <w:p w:rsidR="00054F63" w:rsidRDefault="0082777F">
      <w:pPr>
        <w:pStyle w:val="1111"/>
        <w:widowControl w:val="0"/>
        <w:numPr>
          <w:ilvl w:val="0"/>
          <w:numId w:val="0"/>
        </w:numPr>
        <w:tabs>
          <w:tab w:val="clear" w:pos="1701"/>
          <w:tab w:val="left" w:pos="993"/>
        </w:tabs>
        <w:ind w:firstLine="709"/>
        <w:rPr>
          <w:szCs w:val="26"/>
        </w:rPr>
      </w:pPr>
      <w:r>
        <w:rPr>
          <w:szCs w:val="26"/>
        </w:rPr>
        <w:t>получение и установку ключей электронной подписи и сертификатов ключей проверки электронной подписи, используемых для обеспечения защищенного ин</w:t>
      </w:r>
      <w:r>
        <w:rPr>
          <w:szCs w:val="26"/>
        </w:rPr>
        <w:t xml:space="preserve">формационного взаимодействия АРМ оператора ЕЦИС с ЕЦИС. </w:t>
      </w:r>
    </w:p>
    <w:p w:rsidR="00054F63" w:rsidRDefault="0082777F">
      <w:pPr>
        <w:pStyle w:val="210"/>
      </w:pPr>
      <w:r>
        <w:t>В целях предотвращения несанкционированного доступа к информации рекомендуется установить и настроить одно из средств защиты информации от несанкционированного доступа, приведенное в пункте 2.3. прил</w:t>
      </w:r>
      <w:r>
        <w:t>ожения № 1 к настоящему Регламенту</w:t>
      </w:r>
      <w:r>
        <w:rPr>
          <w:szCs w:val="26"/>
        </w:rPr>
        <w:t xml:space="preserve">. </w:t>
      </w:r>
    </w:p>
    <w:p w:rsidR="00054F63" w:rsidRDefault="00054F63">
      <w:pPr>
        <w:pStyle w:val="af1"/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4F63" w:rsidRDefault="0082777F">
      <w:pPr>
        <w:pStyle w:val="1"/>
      </w:pPr>
      <w:bookmarkStart w:id="6" w:name="_Toc511915520"/>
      <w:bookmarkStart w:id="7" w:name="_Toc527125428"/>
      <w:r>
        <w:t xml:space="preserve">Требования к </w:t>
      </w:r>
      <w:bookmarkEnd w:id="6"/>
      <w:bookmarkEnd w:id="7"/>
      <w:r>
        <w:t xml:space="preserve">автоматизированным рабочим местам оператора ЕЦИС </w:t>
      </w:r>
    </w:p>
    <w:p w:rsidR="00054F63" w:rsidRDefault="00054F63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4F63" w:rsidRDefault="0082777F">
      <w:pPr>
        <w:pStyle w:val="210"/>
      </w:pPr>
      <w:r>
        <w:t xml:space="preserve">На АРМ оператора ЕЦИС, предназначенного для </w:t>
      </w:r>
      <w:r>
        <w:rPr>
          <w:szCs w:val="26"/>
        </w:rPr>
        <w:t xml:space="preserve">обеспечения защищенного </w:t>
      </w:r>
      <w:r>
        <w:t>информационного взаимодействия с ЕЦИС, должны быть установлены и настроены сертифициро</w:t>
      </w:r>
      <w:r>
        <w:t xml:space="preserve">ванные на соответствие требованиям по безопасности информации </w:t>
      </w:r>
      <w:r>
        <w:rPr>
          <w:szCs w:val="26"/>
        </w:rPr>
        <w:t>средства антивирусной защиты и СКЗИ.</w:t>
      </w:r>
    </w:p>
    <w:p w:rsidR="00054F63" w:rsidRDefault="0082777F">
      <w:pPr>
        <w:pStyle w:val="210"/>
      </w:pPr>
      <w:r>
        <w:t>В целях выполнения пункта 10 Требований о защите информации, не составляющей государственную тайну, содержащейся в государственных информационных системах, у</w:t>
      </w:r>
      <w:r>
        <w:t>твержденных приказом ФСТЭК России от 11 февраля 2013 года № 17, и пункта 8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утвержденных п</w:t>
      </w:r>
      <w:r>
        <w:t xml:space="preserve">риказом ФСТЭК России от 18 февраля 2013 года № 21, на АРМ оператора ЕЦИС рекомендуется установить и настроить средство защиты информации от несанкционированного доступа, удовлетворяющее требованиям, установленными для 3 класса защищенности государственных </w:t>
      </w:r>
      <w:r>
        <w:t>информационных систем и требованиями, установленными для 4 уровня защищенности персональных данных.</w:t>
      </w:r>
    </w:p>
    <w:p w:rsidR="00054F63" w:rsidRDefault="0082777F">
      <w:pPr>
        <w:pStyle w:val="210"/>
      </w:pPr>
      <w:r>
        <w:t>В случае, если АРМ оператора ЕЦИС имеет непосредственное подключение к сети Интернет или имеет подключение к информационно-телекоммуникационной сети,</w:t>
      </w:r>
      <w:r>
        <w:t xml:space="preserve"> оператор которой не обеспечивают фильтрацию и блокирование неразрешенного сетевого трафика между АРМ оператора ЕЦИС и сетью Интернет, оператором ЕЦИС должны быть приняты меры по фильтрации и блокированию сетевого трафика с использованием сертифицированных</w:t>
      </w:r>
      <w:r>
        <w:t xml:space="preserve"> средств межсетевого экранирования, которые обеспечивают фильтрацию и блокирование неразрешенного сетевого трафика между внешней информационно-телекоммуникационной сетью и АРМ оператора ЕЦИС или информационно-телекоммуникационной сетью оператора ЕЦИС, при </w:t>
      </w:r>
      <w:r>
        <w:t>этом рекомендуется на АРМ оператора ЕЦИС установить и настроить средство защиты информации, имеющее сертификат соответствия по профилю защиты межсетевых экранов типа «В» не ниже 6 класса защиты, либо на логической границе (периметре) информационно-телекомм</w:t>
      </w:r>
      <w:r>
        <w:t>уникационной сети оператора ЕЦИС установить и настроить межсетевой экран, имеющий сертификат соответствия по профилю защиты межсетевых экранов типа «А» или «Б» не ниже 5 класса защиты в соответствии с Требованиями к межсетевым экранам, утвержденными приказ</w:t>
      </w:r>
      <w:r>
        <w:t>ом ФСТЭК России от 09 февраля 2016 года № 9.</w:t>
      </w:r>
    </w:p>
    <w:p w:rsidR="00054F63" w:rsidRDefault="0082777F">
      <w:pPr>
        <w:pStyle w:val="210"/>
      </w:pPr>
      <w:r>
        <w:t>СКЗИ, используемые для обеспечения защищенного информационного взаимодействия с ЕЦИС, должны соответствовать требованиям ФСБ России к шифровальным (криптографическим) средствам класса КС2.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реализации комплек</w:t>
      </w:r>
      <w:r>
        <w:rPr>
          <w:rFonts w:ascii="Times New Roman" w:hAnsi="Times New Roman" w:cs="Times New Roman"/>
          <w:sz w:val="26"/>
          <w:szCs w:val="26"/>
        </w:rPr>
        <w:t>са организационных и технических мероприятий по защите информации, установленных для 3 класса защищенности государственных информационных систем в соответствии с Требованиями о защите информации, не составляющей государственную тайну, содержащейся в госуда</w:t>
      </w:r>
      <w:r>
        <w:rPr>
          <w:rFonts w:ascii="Times New Roman" w:hAnsi="Times New Roman" w:cs="Times New Roman"/>
          <w:sz w:val="26"/>
          <w:szCs w:val="26"/>
        </w:rPr>
        <w:t>рственных информационных системах, утвержденных приказом ФСТЭК России от 11 февраля 2013 года № 17, и для 4 уровня защищенности персональных данных в соответствии Составом и содержанием организационных и технических мер по обеспечению безопасности персонал</w:t>
      </w:r>
      <w:r>
        <w:rPr>
          <w:rFonts w:ascii="Times New Roman" w:hAnsi="Times New Roman" w:cs="Times New Roman"/>
          <w:sz w:val="26"/>
          <w:szCs w:val="26"/>
        </w:rPr>
        <w:t>ьных данных при их обработке в информационных системах персональных данных, утвержденных приказом ФСТЭК России от 18 февраля 2013 года № 21, Составом и содержанием организационных и технических мер по обеспечению безопасности персональных данных при их обр</w:t>
      </w:r>
      <w:r>
        <w:rPr>
          <w:rFonts w:ascii="Times New Roman" w:hAnsi="Times New Roman" w:cs="Times New Roman"/>
          <w:sz w:val="26"/>
          <w:szCs w:val="26"/>
        </w:rPr>
        <w:t>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</w:t>
      </w:r>
      <w:r>
        <w:rPr>
          <w:rFonts w:ascii="Times New Roman" w:hAnsi="Times New Roman" w:cs="Times New Roman"/>
          <w:sz w:val="26"/>
          <w:szCs w:val="26"/>
        </w:rPr>
        <w:t>ащищенности, утвержденных приказом ФСБ России от 10 июля 2014 года № 378, а также мероприятий в соответствии с требованиями настоящего Регламента, допускается использование СКЗИ класса КС1.</w:t>
      </w:r>
    </w:p>
    <w:p w:rsidR="00054F63" w:rsidRDefault="0082777F">
      <w:pPr>
        <w:pStyle w:val="210"/>
      </w:pPr>
      <w:r>
        <w:t xml:space="preserve">Реализация антивирусной защиты на </w:t>
      </w:r>
      <w:r>
        <w:rPr>
          <w:szCs w:val="26"/>
        </w:rPr>
        <w:t>АРМ оператора ЕЦИС</w:t>
      </w:r>
      <w:r>
        <w:t xml:space="preserve"> должна предус</w:t>
      </w:r>
      <w:r>
        <w:t>матривать: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средства антивирусной защиты;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установку, конфигурирование и управление средством антивирусной защиты;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периодических проверок на наличие вредоносных компьютерных программ;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проверку в масштабе времени, близком к реальному, об</w:t>
      </w:r>
      <w:r>
        <w:rPr>
          <w:rFonts w:ascii="Times New Roman" w:hAnsi="Times New Roman" w:cs="Times New Roman"/>
          <w:sz w:val="26"/>
          <w:szCs w:val="26"/>
        </w:rPr>
        <w:t>ъектов (файлов) из внешних источников (съемных машинных носителей информации, сетевых подключений, в том числе к сетям общего пользования, и других внешних источников) при загрузке, открытии или исполнении таких файлов;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об обнаружении вредоносны</w:t>
      </w:r>
      <w:r>
        <w:rPr>
          <w:rFonts w:ascii="Times New Roman" w:hAnsi="Times New Roman" w:cs="Times New Roman"/>
          <w:sz w:val="26"/>
          <w:szCs w:val="26"/>
        </w:rPr>
        <w:t>х компьютерных программ;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и выполнение действий по реагированию на обнаружение объектов, подвергшихся заражению вредоносными компьютерными программами;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регулярное, не реже 1 раза в день, обновление антивирусных баз;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обновление средства антивирус</w:t>
      </w:r>
      <w:r>
        <w:rPr>
          <w:rFonts w:ascii="Times New Roman" w:hAnsi="Times New Roman" w:cs="Times New Roman"/>
          <w:sz w:val="26"/>
          <w:szCs w:val="26"/>
        </w:rPr>
        <w:t>ной защиты по мере выпуска производителем новых сертифицированных версий средств антивирусной защиты;</w:t>
      </w:r>
    </w:p>
    <w:p w:rsidR="00054F63" w:rsidRDefault="00827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периодическую проверку работоспособности средств антивирусной защиты.</w:t>
      </w:r>
    </w:p>
    <w:p w:rsidR="00054F63" w:rsidRDefault="0082777F">
      <w:pPr>
        <w:pStyle w:val="210"/>
      </w:pPr>
      <w:r>
        <w:t xml:space="preserve">Перечень рекомендуемых средств защиты информации и СКЗИ приведен в приложении № 1 к </w:t>
      </w:r>
      <w:r>
        <w:t>настоящему Регламенту.</w:t>
      </w:r>
    </w:p>
    <w:p w:rsidR="00054F63" w:rsidRDefault="00054F63">
      <w:pPr>
        <w:pStyle w:val="af1"/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4F63" w:rsidRDefault="0082777F">
      <w:pPr>
        <w:pStyle w:val="1"/>
      </w:pPr>
      <w:bookmarkStart w:id="8" w:name="_Toc511915522"/>
      <w:bookmarkStart w:id="9" w:name="_Toc527125430"/>
      <w:r>
        <w:t>Порядок подключения к ЕЦИС</w:t>
      </w:r>
      <w:bookmarkEnd w:id="8"/>
      <w:bookmarkEnd w:id="9"/>
    </w:p>
    <w:p w:rsidR="00054F63" w:rsidRDefault="00054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54F63" w:rsidRDefault="0082777F">
      <w:pPr>
        <w:pStyle w:val="210"/>
      </w:pPr>
      <w:r>
        <w:t xml:space="preserve">Установка и настройка программного обеспечения, средств защиты информации и СКЗИ осуществляется операторами ЕЦИС в соответствии с эксплуатационной документацией на используемые средства защиты информации </w:t>
      </w:r>
      <w:r>
        <w:t>и СКЗИ.</w:t>
      </w:r>
    </w:p>
    <w:p w:rsidR="00054F63" w:rsidRDefault="0082777F">
      <w:pPr>
        <w:pStyle w:val="210"/>
        <w:widowControl w:val="0"/>
        <w:rPr>
          <w:szCs w:val="26"/>
        </w:rPr>
      </w:pPr>
      <w:r>
        <w:rPr>
          <w:szCs w:val="26"/>
        </w:rPr>
        <w:t>Используемые для организации защищенного информационного взаимодействия с ЕЦИС ключи электронной подписи и сертификаты ключей проверки электронной подписи должны соответствовать требованиям Федерального закона «Об электронной подписи» и стандарту Г</w:t>
      </w:r>
      <w:r>
        <w:rPr>
          <w:szCs w:val="26"/>
        </w:rPr>
        <w:t>ОСТ Р 34.10-2012 «Информационная технология. Криптографическая защита информации. Процессы формирования и проверки электронной цифровой подписи».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rStyle w:val="aff0"/>
          <w:szCs w:val="26"/>
        </w:rPr>
      </w:pPr>
      <w:r>
        <w:rPr>
          <w:szCs w:val="26"/>
        </w:rPr>
        <w:t>Изготовление и выдача квалифицированного сертификата ключей проверки электронной подписи (далее – квалифициров</w:t>
      </w:r>
      <w:r>
        <w:rPr>
          <w:szCs w:val="26"/>
        </w:rPr>
        <w:t>анный сертификат) осуществляется в соответствии с Порядком реализации функций аккредитованного удостоверяющего центра БУ «Центр информационных технологий» Мининформполитики Чувашии и исполнения его обязанностей, который размещен в информационно-телекоммуни</w:t>
      </w:r>
      <w:r>
        <w:rPr>
          <w:szCs w:val="26"/>
        </w:rPr>
        <w:t xml:space="preserve">кационной сети Интернет по адресу </w:t>
      </w:r>
      <w:hyperlink r:id="rId8" w:tooltip="http://uc-cit.cap.ru" w:history="1">
        <w:r>
          <w:rPr>
            <w:rStyle w:val="aff0"/>
            <w:szCs w:val="26"/>
            <w:lang w:val="en-US"/>
          </w:rPr>
          <w:t>http</w:t>
        </w:r>
        <w:r>
          <w:rPr>
            <w:rStyle w:val="aff0"/>
            <w:szCs w:val="26"/>
          </w:rPr>
          <w:t>://</w:t>
        </w:r>
        <w:r>
          <w:rPr>
            <w:rStyle w:val="aff0"/>
            <w:szCs w:val="26"/>
            <w:lang w:val="en-US"/>
          </w:rPr>
          <w:t>uc</w:t>
        </w:r>
        <w:r>
          <w:rPr>
            <w:rStyle w:val="aff0"/>
            <w:szCs w:val="26"/>
          </w:rPr>
          <w:t>-</w:t>
        </w:r>
        <w:r>
          <w:rPr>
            <w:rStyle w:val="aff0"/>
            <w:szCs w:val="26"/>
            <w:lang w:val="en-US"/>
          </w:rPr>
          <w:t>cit</w:t>
        </w:r>
        <w:r>
          <w:rPr>
            <w:rStyle w:val="aff0"/>
            <w:szCs w:val="26"/>
          </w:rPr>
          <w:t>.</w:t>
        </w:r>
        <w:r>
          <w:rPr>
            <w:rStyle w:val="aff0"/>
            <w:szCs w:val="26"/>
            <w:lang w:val="en-US"/>
          </w:rPr>
          <w:t>cap</w:t>
        </w:r>
        <w:r>
          <w:rPr>
            <w:rStyle w:val="aff0"/>
            <w:szCs w:val="26"/>
          </w:rPr>
          <w:t>.</w:t>
        </w:r>
        <w:r>
          <w:rPr>
            <w:rStyle w:val="aff0"/>
            <w:szCs w:val="26"/>
            <w:lang w:val="en-US"/>
          </w:rPr>
          <w:t>ru</w:t>
        </w:r>
      </w:hyperlink>
      <w:r>
        <w:rPr>
          <w:rStyle w:val="aff0"/>
          <w:szCs w:val="26"/>
        </w:rPr>
        <w:t>.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trike/>
          <w:szCs w:val="26"/>
        </w:rPr>
      </w:pPr>
      <w:r>
        <w:rPr>
          <w:szCs w:val="26"/>
        </w:rPr>
        <w:t>Изготовление сертификата ключа проверки электронной подписи, который не являются квалифицированным сертификатом и может</w:t>
      </w:r>
      <w:r>
        <w:rPr>
          <w:szCs w:val="26"/>
        </w:rPr>
        <w:t xml:space="preserve"> использоваться только для организации защищенного информационного взаимодействия с ЕЦИС, осуществляется техническим оператором инфраструктуры ЕЦИС в течение пяти рабочих дней со дня предоставления оператором ЕЦИС заявки на изготовление сертификата ключа п</w:t>
      </w:r>
      <w:r>
        <w:rPr>
          <w:szCs w:val="26"/>
        </w:rPr>
        <w:t>роверки электронной подписи по форме согласно Приложению № 5 к настоящему Регламенту.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Проверка возможности подключения к ЕЦИС осуществляется путем открытия веб-ресурса по адресу </w:t>
      </w:r>
      <w:hyperlink r:id="rId9" w:tooltip="https://cb.cap.ru" w:history="1">
        <w:r>
          <w:rPr>
            <w:rStyle w:val="aff0"/>
            <w:szCs w:val="26"/>
            <w:lang w:val="en-US"/>
          </w:rPr>
          <w:t>https</w:t>
        </w:r>
        <w:r>
          <w:rPr>
            <w:rStyle w:val="aff0"/>
            <w:szCs w:val="26"/>
          </w:rPr>
          <w:t>://</w:t>
        </w:r>
        <w:r>
          <w:rPr>
            <w:rStyle w:val="aff0"/>
            <w:szCs w:val="26"/>
            <w:lang w:val="en-US"/>
          </w:rPr>
          <w:t>cb</w:t>
        </w:r>
        <w:r>
          <w:rPr>
            <w:rStyle w:val="aff0"/>
            <w:szCs w:val="26"/>
          </w:rPr>
          <w:t>.</w:t>
        </w:r>
        <w:r>
          <w:rPr>
            <w:rStyle w:val="aff0"/>
            <w:szCs w:val="26"/>
            <w:lang w:val="en-US"/>
          </w:rPr>
          <w:t>cap</w:t>
        </w:r>
        <w:r>
          <w:rPr>
            <w:rStyle w:val="aff0"/>
            <w:szCs w:val="26"/>
          </w:rPr>
          <w:t>.</w:t>
        </w:r>
        <w:r>
          <w:rPr>
            <w:rStyle w:val="aff0"/>
            <w:szCs w:val="26"/>
            <w:lang w:val="en-US"/>
          </w:rPr>
          <w:t>ru</w:t>
        </w:r>
      </w:hyperlink>
      <w:r>
        <w:rPr>
          <w:szCs w:val="26"/>
        </w:rPr>
        <w:t xml:space="preserve"> с и</w:t>
      </w:r>
      <w:r>
        <w:rPr>
          <w:szCs w:val="26"/>
        </w:rPr>
        <w:t>спользованием веб-браузера или специализированного прикладного программного обеспечения, установленного на АРМ оператора ЕЦИС.</w:t>
      </w:r>
    </w:p>
    <w:p w:rsidR="00054F63" w:rsidRDefault="0082777F">
      <w:pPr>
        <w:pStyle w:val="210"/>
        <w:widowControl w:val="0"/>
        <w:rPr>
          <w:szCs w:val="26"/>
        </w:rPr>
      </w:pPr>
      <w:r>
        <w:rPr>
          <w:szCs w:val="26"/>
        </w:rPr>
        <w:t>Доступ пользователя ЕЦИС для обработки информации в ЕЦИС, в том числе его регистрация в ЕЦИС в качестве пользователя ЕЦИС и назна</w:t>
      </w:r>
      <w:r>
        <w:rPr>
          <w:szCs w:val="26"/>
        </w:rPr>
        <w:t>чение ему прав для работы в ЕЦИС, осуществляется техническим оператором инфраструктуры ЕЦИС на основании заявки оператора ЕЦИС на предоставление доступа пользователю к ЕЦИС по форме согласно Приложению № 3 к настоящему Регламенту.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 xml:space="preserve">Доступ должностного лица </w:t>
      </w:r>
      <w:r>
        <w:rPr>
          <w:szCs w:val="26"/>
        </w:rPr>
        <w:t xml:space="preserve">оператора ЕЦИС для обработки информации в ЕЦИС осуществляется только после выполнения оператором ЕЦИС организационных и технических мероприятий в соответствии с требованиями настоящего Регламента. </w:t>
      </w:r>
    </w:p>
    <w:p w:rsidR="00054F63" w:rsidRDefault="0082777F">
      <w:pPr>
        <w:pStyle w:val="210"/>
        <w:widowControl w:val="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Выполнение вышеуказанных мероприятий подтверждается соответствующим актом о готовности оператора ЕЦИС, который оформляется по форме согласно Приложению № 2 к настоящему Регламенту и предоставляется техническому оператору инфраструктуры ЕЦИС.</w:t>
      </w:r>
    </w:p>
    <w:p w:rsidR="00054F63" w:rsidRDefault="0082777F">
      <w:pPr>
        <w:pStyle w:val="210"/>
        <w:widowControl w:val="0"/>
        <w:rPr>
          <w:szCs w:val="26"/>
        </w:rPr>
      </w:pPr>
      <w:r>
        <w:rPr>
          <w:szCs w:val="26"/>
        </w:rPr>
        <w:t>Прекращение до</w:t>
      </w:r>
      <w:r>
        <w:rPr>
          <w:szCs w:val="26"/>
        </w:rPr>
        <w:t>ступа пользователя ЕЦИС к ЕЦИС осуществляется на основании заявки на прекращение доступа пользователя к ЕЦИС по форме согласно Приложению № 4 к настоящему Регламенту.</w:t>
      </w:r>
    </w:p>
    <w:p w:rsidR="00054F63" w:rsidRDefault="0082777F">
      <w:pPr>
        <w:pStyle w:val="210"/>
        <w:widowControl w:val="0"/>
        <w:rPr>
          <w:szCs w:val="26"/>
        </w:rPr>
      </w:pPr>
      <w:r>
        <w:rPr>
          <w:szCs w:val="26"/>
        </w:rPr>
        <w:t>Заявка, указанная в пункте 4.4 настоящего Положения, представляется техническому оператор</w:t>
      </w:r>
      <w:r>
        <w:rPr>
          <w:szCs w:val="26"/>
        </w:rPr>
        <w:t xml:space="preserve">у инфраструктуры ЕЦИС в течение десяти рабочих дней со дня принятия оператором ЕЦИС решения о прекращении доступа пользователя ЕЦИС к ЕЦИС. </w:t>
      </w:r>
    </w:p>
    <w:p w:rsidR="00054F63" w:rsidRDefault="0082777F">
      <w:pPr>
        <w:pStyle w:val="210"/>
      </w:pPr>
      <w:r>
        <w:t>В случае принятия оператором ЕЦИС решения о прекращении доступа пользователя ЕЦИС к ЕЦИС оператор ЕЦИС не позднее т</w:t>
      </w:r>
      <w:r>
        <w:t>рех рабочих дней со дня принятия данного решения представляет техническому оператору инфраструктуры ЕЦИС заявку на прекращение действия (отзыв) сертификата ключа проверки электронной подписи, используемого для организации защищенного информационного взаимо</w:t>
      </w:r>
      <w:r>
        <w:t>действия с ЕЦИС, по форме согласно Приложению № 6 к настоящему Регламенту.</w:t>
      </w:r>
    </w:p>
    <w:p w:rsidR="00054F63" w:rsidRDefault="0082777F">
      <w:pPr>
        <w:pStyle w:val="210"/>
        <w:rPr>
          <w:szCs w:val="26"/>
        </w:rPr>
      </w:pPr>
      <w:r>
        <w:rPr>
          <w:szCs w:val="26"/>
        </w:rPr>
        <w:t xml:space="preserve">В случае </w:t>
      </w:r>
      <w:r>
        <w:t xml:space="preserve">нарушения конфиденциальности или подозрения в нарушении конфиденциальности ключа электронной подписи, в том числе при утере или хищении носителя ключа электронной подписи, </w:t>
      </w:r>
      <w:r>
        <w:t xml:space="preserve">соответствующего сертификату </w:t>
      </w:r>
      <w:r>
        <w:rPr>
          <w:szCs w:val="26"/>
        </w:rPr>
        <w:t>ключа проверки электронной подписи, используемого для организации защищенного информационного взаимодействия с ЕЦИС, оператор ЕЦИС обязан немедленно уведомить технического оператора инфраструктуры ЕЦИС и в течение одного рабоче</w:t>
      </w:r>
      <w:r>
        <w:rPr>
          <w:szCs w:val="26"/>
        </w:rPr>
        <w:t>го дня предоставить заявку на прекращение действия (отзыв) сертификата ключа проверки электронной подписи по форме согласно Приложению № 6 к настоящему Регламенту.</w:t>
      </w:r>
    </w:p>
    <w:p w:rsidR="00054F63" w:rsidRDefault="0082777F">
      <w:pPr>
        <w:pStyle w:val="210"/>
        <w:widowControl w:val="0"/>
      </w:pPr>
      <w:r>
        <w:rPr>
          <w:szCs w:val="26"/>
        </w:rPr>
        <w:t>Предоставление (прекращение) доступа пользователя ЕЦИС к ЕЦИС осуществляется техническим опе</w:t>
      </w:r>
      <w:r>
        <w:rPr>
          <w:szCs w:val="26"/>
        </w:rPr>
        <w:t>ратором инфраструктуры ЕЦИС в течение трех рабочих дней со дня получения заявок, указанных в пунктах 4.4, 4.5 настоящего Регламента.</w:t>
      </w:r>
    </w:p>
    <w:p w:rsidR="00054F63" w:rsidRDefault="0082777F">
      <w:pPr>
        <w:pStyle w:val="210"/>
        <w:widowControl w:val="0"/>
      </w:pPr>
      <w:r>
        <w:rPr>
          <w:szCs w:val="26"/>
        </w:rPr>
        <w:t>Прекращение действия (отзыв) сертификата ключа проверки электронной подписи осуществляется техническим оператором инфрастру</w:t>
      </w:r>
      <w:r>
        <w:rPr>
          <w:szCs w:val="26"/>
        </w:rPr>
        <w:t>ктуры ЕЦИС в течение одного рабочего дня со дня получения заявок, указанных в пунктах 4.6, 4.7 настоящего Регламента.</w:t>
      </w:r>
      <w:r>
        <w:t xml:space="preserve"> Уведомление о прекращении </w:t>
      </w:r>
      <w:r>
        <w:rPr>
          <w:szCs w:val="26"/>
        </w:rPr>
        <w:t xml:space="preserve">действия (отзыве) сертификата ключа проверки электронной подписи осуществляется посредством публикации </w:t>
      </w:r>
      <w:r>
        <w:t>списка от</w:t>
      </w:r>
      <w:r>
        <w:t>озванных сертификатов</w:t>
      </w:r>
      <w:r>
        <w:rPr>
          <w:szCs w:val="26"/>
        </w:rPr>
        <w:t>. Адреса т</w:t>
      </w:r>
      <w:r>
        <w:t xml:space="preserve">очек распространения списка отозванных сертификатов указываются в сертификате </w:t>
      </w:r>
      <w:r>
        <w:rPr>
          <w:szCs w:val="26"/>
        </w:rPr>
        <w:t>ключа проверки электронной подписи.</w:t>
      </w:r>
    </w:p>
    <w:p w:rsidR="00054F63" w:rsidRDefault="00054F63">
      <w:pPr>
        <w:pStyle w:val="1"/>
        <w:numPr>
          <w:ilvl w:val="0"/>
          <w:numId w:val="0"/>
        </w:numPr>
      </w:pPr>
    </w:p>
    <w:p w:rsidR="00054F63" w:rsidRDefault="00054F63">
      <w:pPr>
        <w:pStyle w:val="1"/>
        <w:numPr>
          <w:ilvl w:val="0"/>
          <w:numId w:val="0"/>
        </w:numPr>
      </w:pPr>
    </w:p>
    <w:p w:rsidR="00054F63" w:rsidRDefault="00054F63">
      <w:pPr>
        <w:pStyle w:val="210"/>
        <w:widowControl w:val="0"/>
        <w:numPr>
          <w:ilvl w:val="0"/>
          <w:numId w:val="0"/>
        </w:numPr>
        <w:sectPr w:rsidR="00054F63">
          <w:headerReference w:type="default" r:id="rId10"/>
          <w:footerReference w:type="default" r:id="rId11"/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054F63" w:rsidRDefault="008277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  <w:r>
        <w:rPr>
          <w:rFonts w:ascii="Times New Roman" w:hAnsi="Times New Roman" w:cs="Times New Roman"/>
          <w:sz w:val="26"/>
          <w:szCs w:val="26"/>
        </w:rPr>
        <w:br/>
        <w:t>к Регламенту подключения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pStyle w:val="af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54F63" w:rsidRDefault="008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рекомендуемых сертифицированных средств защиты информации и средств криптографической защиты информации</w:t>
      </w:r>
    </w:p>
    <w:p w:rsidR="00054F63" w:rsidRDefault="00054F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54F63" w:rsidRDefault="0082777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Технические меры защиты информации должны реализовываться посредством применения средств защиты информации, в том числе программных (программн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о-аппаратных) средств, в которых они реализованы, имеющих необходимые функции безопасности. </w:t>
      </w:r>
    </w:p>
    <w:p w:rsidR="00054F63" w:rsidRDefault="0082777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 соответствии с требованиями к составу и содержанию организационных и технических мер по обеспечению безопасности персональных данных при их обработке в информа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ционных системах персональных данных, утвержденными приказом Федеральной службой по техническому и экспортному контролю (далее – ФСТЭК России) от 18.02.2013 № 21, для обеспечения 4 уровня защищенности персональных данных должны применяться средства защиты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 не ниже 6 класса, а также средства вычислительной техники не ниже 6 класса.</w:t>
      </w:r>
    </w:p>
    <w:p w:rsidR="00054F63" w:rsidRDefault="0082777F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рекомендуемых средств защиты информации и средств криптографической защиты информации, совместимых с операционными системами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Microsoft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Windows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4F63" w:rsidRDefault="0082777F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криптог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рафической защиты информации (далее – СКЗИ) и средства электронной подписи:</w:t>
      </w:r>
    </w:p>
    <w:p w:rsidR="00054F63" w:rsidRDefault="008277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СКЗИ «КриптоПро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CSP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версии 4.0 или выше, либо СКЗИ «ViPNet CSP 4.2» (варианты исполнения 1, 2, 3), либо ViPNet PKI Client (варианты исполнения 1, 2, 3);</w:t>
      </w:r>
    </w:p>
    <w:p w:rsidR="00054F63" w:rsidRDefault="008277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СКЗИ «Континент TLS VPN Кл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иент» (при необходимости).</w:t>
      </w:r>
    </w:p>
    <w:p w:rsidR="00054F63" w:rsidRDefault="0082777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СКЗИ «Континент TLS VPN Клиент» рекомендуется устанавливать для организации защищенного информационного взаимодействия с единой централизованной информационной системе бюджетного (бухгалтерского) учета и отчетности (далее – ЕЦИС)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случаях:</w:t>
      </w:r>
    </w:p>
    <w:p w:rsidR="00054F63" w:rsidRDefault="0082777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применения на АРМ оператора ЕЦИС специализированного прикладного программного обеспечения для работы в ЕЦИС;</w:t>
      </w:r>
    </w:p>
    <w:p w:rsidR="00054F63" w:rsidRDefault="0082777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применения СКЗИ «Континент TLS VPN Клиент» без стороннего криптопровайдера (СКЗИ «КриптоПро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CSP</w:t>
      </w:r>
      <w:r>
        <w:rPr>
          <w:rFonts w:ascii="Times New Roman" w:eastAsia="Times New Roman" w:hAnsi="Times New Roman" w:cs="Times New Roman"/>
          <w:sz w:val="26"/>
          <w:szCs w:val="26"/>
        </w:rPr>
        <w:t>» версии 4.0). В данном варианте СКЗИ «К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онтинент TLS VPN Клиент» используется с криптопровайдером «Код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CSP</w:t>
      </w:r>
      <w:r>
        <w:rPr>
          <w:rFonts w:ascii="Times New Roman" w:eastAsia="Times New Roman" w:hAnsi="Times New Roman" w:cs="Times New Roman"/>
          <w:sz w:val="26"/>
          <w:szCs w:val="26"/>
        </w:rPr>
        <w:t>», входящим в состав СКЗИ «Континент TLS VPN Клиент».</w:t>
      </w:r>
    </w:p>
    <w:p w:rsidR="00054F63" w:rsidRDefault="0082777F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антивирусной защиты информации: </w:t>
      </w:r>
    </w:p>
    <w:p w:rsidR="00054F63" w:rsidRDefault="0082777F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«Kaspersky Endpoint Security 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Windows»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«Kaspersky Endpoint Security 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Windows»;</w:t>
      </w:r>
    </w:p>
    <w:p w:rsidR="00054F63" w:rsidRDefault="0082777F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«Dr.Web Enterprise Security Suite».</w:t>
      </w:r>
    </w:p>
    <w:p w:rsidR="00054F63" w:rsidRDefault="0082777F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Средства защиты информации от несанкционированного доступа:</w:t>
      </w:r>
    </w:p>
    <w:p w:rsidR="00054F63" w:rsidRDefault="0082777F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средство защиты информации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Secret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Studio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8; </w:t>
      </w:r>
    </w:p>
    <w:p w:rsidR="00054F63" w:rsidRDefault="0082777F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защиты информации от несанкционированного доступа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Dallas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Lock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8.0-К».</w:t>
      </w:r>
    </w:p>
    <w:p w:rsidR="00054F63" w:rsidRDefault="0082777F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рекомендуемых средств защиты информации и средств криптографической защиты информации, совместимых с операционными системами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Linux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4F63" w:rsidRDefault="0082777F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СКЗИ и средства электронной подписи: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СКЗИ «КриптоПро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CSP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версии 4.0 или выше, либо СКЗИ «ViPNet CSP 4.2» (варианты исполнения 4, 5), либо ViPNet PKI Client (вариант исполнения 6).</w:t>
      </w:r>
    </w:p>
    <w:p w:rsidR="00054F63" w:rsidRDefault="0082777F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антивирусной защиты информации: </w:t>
      </w:r>
    </w:p>
    <w:p w:rsidR="00054F63" w:rsidRDefault="0082777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программное изделие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Kaspersky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Endpoint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Security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для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Linux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54F63" w:rsidRDefault="0082777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аммное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«Dr.Web Enterprise Security Suite».</w:t>
      </w:r>
    </w:p>
    <w:p w:rsidR="00054F63" w:rsidRDefault="0082777F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Средства защиты информации от несанкционированного доступа:</w:t>
      </w:r>
    </w:p>
    <w:p w:rsidR="00054F63" w:rsidRDefault="0082777F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средство защиты информации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Secret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LSP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054F63" w:rsidRDefault="0082777F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защиты информации от несанкционированного доступа «Dallas Lock Linux».</w:t>
      </w:r>
    </w:p>
    <w:p w:rsidR="00054F63" w:rsidRDefault="008277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технической возможности применения на АРМ оператора ЕЦИС сертифицированных средств защиты информации от несанкционированного доступа, рекомендуется использовать операционные системы, соответствующие требованиям к профилю защиты операцио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нных систем типа «А» не ниже 5 класса защиты в соответствии с методическими документами, утвержденными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 службой по техническому и экспортному контролю.</w:t>
      </w:r>
    </w:p>
    <w:p w:rsidR="00054F63" w:rsidRDefault="00054F63">
      <w:pPr>
        <w:spacing w:after="0" w:line="240" w:lineRule="auto"/>
        <w:rPr>
          <w:rFonts w:ascii="Times New Roman" w:hAnsi="Times New Roman" w:cs="Times New Roman"/>
        </w:rPr>
      </w:pPr>
    </w:p>
    <w:p w:rsidR="00054F63" w:rsidRDefault="00054F63">
      <w:pPr>
        <w:rPr>
          <w:rFonts w:ascii="Times New Roman" w:hAnsi="Times New Roman" w:cs="Times New Roman"/>
        </w:rPr>
        <w:sectPr w:rsidR="00054F6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54F63" w:rsidRDefault="008277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_Toc527125431"/>
      <w:r>
        <w:rPr>
          <w:rFonts w:ascii="Times New Roman" w:hAnsi="Times New Roman" w:cs="Times New Roman"/>
          <w:sz w:val="26"/>
          <w:szCs w:val="26"/>
        </w:rPr>
        <w:t>Приложение № 2</w:t>
      </w:r>
      <w:r>
        <w:rPr>
          <w:rFonts w:ascii="Times New Roman" w:hAnsi="Times New Roman" w:cs="Times New Roman"/>
          <w:sz w:val="26"/>
          <w:szCs w:val="26"/>
        </w:rPr>
        <w:br/>
        <w:t xml:space="preserve">к Регламенту подключения к единой централизованной </w:t>
      </w:r>
      <w:r>
        <w:rPr>
          <w:rFonts w:ascii="Times New Roman" w:hAnsi="Times New Roman" w:cs="Times New Roman"/>
          <w:sz w:val="26"/>
          <w:szCs w:val="26"/>
        </w:rPr>
        <w:t>информационной системе бюджетного (бухгалтерского) учета и отчетности</w:t>
      </w:r>
    </w:p>
    <w:p w:rsidR="00054F63" w:rsidRDefault="00054F63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82777F">
      <w:pPr>
        <w:spacing w:after="0" w:line="240" w:lineRule="auto"/>
        <w:ind w:left="6096" w:firstLine="4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54F63" w:rsidRDefault="00054F63">
      <w:pPr>
        <w:spacing w:after="0" w:line="240" w:lineRule="auto"/>
        <w:ind w:left="6096" w:firstLine="48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F63" w:rsidRDefault="00827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20___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Руководитель _______________________</w:t>
      </w:r>
    </w:p>
    <w:p w:rsidR="00054F63" w:rsidRDefault="00054F63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82777F">
      <w:pPr>
        <w:pStyle w:val="17"/>
        <w:spacing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Акт № _____</w:t>
      </w:r>
      <w:r>
        <w:rPr>
          <w:rFonts w:ascii="Times New Roman" w:hAnsi="Times New Roman"/>
          <w:color w:val="auto"/>
          <w:sz w:val="26"/>
          <w:szCs w:val="26"/>
        </w:rPr>
        <w:br/>
      </w:r>
      <w:bookmarkEnd w:id="10"/>
      <w:r>
        <w:rPr>
          <w:rFonts w:ascii="Times New Roman" w:hAnsi="Times New Roman"/>
          <w:color w:val="auto"/>
          <w:sz w:val="26"/>
          <w:szCs w:val="26"/>
        </w:rPr>
        <w:t>о готовности подключения к единой централизованной информационной системе бюджетного (бухгалт</w:t>
      </w:r>
      <w:r>
        <w:rPr>
          <w:rFonts w:ascii="Times New Roman" w:hAnsi="Times New Roman"/>
          <w:color w:val="auto"/>
          <w:sz w:val="26"/>
          <w:szCs w:val="26"/>
        </w:rPr>
        <w:t>ерского) учета и отчетности</w:t>
      </w:r>
    </w:p>
    <w:p w:rsidR="00054F63" w:rsidRDefault="00054F63">
      <w:pPr>
        <w:pStyle w:val="17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54F63" w:rsidRDefault="00054F63">
      <w:pPr>
        <w:pStyle w:val="afa"/>
        <w:spacing w:after="0"/>
      </w:pPr>
    </w:p>
    <w:p w:rsidR="00054F63" w:rsidRDefault="0082777F">
      <w:pPr>
        <w:pStyle w:val="Con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_____________________________________________________________, </w:t>
      </w:r>
    </w:p>
    <w:p w:rsidR="00054F63" w:rsidRDefault="0082777F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организации)</w:t>
      </w:r>
    </w:p>
    <w:p w:rsidR="00054F63" w:rsidRDefault="0082777F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составе:</w:t>
      </w:r>
    </w:p>
    <w:p w:rsidR="00054F63" w:rsidRDefault="00054F6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243"/>
        <w:gridCol w:w="4395"/>
      </w:tblGrid>
      <w:tr w:rsidR="00054F63">
        <w:trPr>
          <w:trHeight w:val="240"/>
        </w:trPr>
        <w:tc>
          <w:tcPr>
            <w:tcW w:w="4860" w:type="dxa"/>
          </w:tcPr>
          <w:p w:rsidR="00054F63" w:rsidRDefault="0082777F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243" w:type="dxa"/>
          </w:tcPr>
          <w:p w:rsidR="00054F63" w:rsidRDefault="0082777F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F63">
        <w:trPr>
          <w:trHeight w:val="240"/>
        </w:trPr>
        <w:tc>
          <w:tcPr>
            <w:tcW w:w="4860" w:type="dxa"/>
          </w:tcPr>
          <w:p w:rsidR="00054F63" w:rsidRDefault="0082777F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243" w:type="dxa"/>
          </w:tcPr>
          <w:p w:rsidR="00054F63" w:rsidRDefault="0082777F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F63">
        <w:trPr>
          <w:trHeight w:val="240"/>
        </w:trPr>
        <w:tc>
          <w:tcPr>
            <w:tcW w:w="4860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F63">
        <w:trPr>
          <w:trHeight w:val="240"/>
        </w:trPr>
        <w:tc>
          <w:tcPr>
            <w:tcW w:w="4860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054F63" w:rsidRDefault="00054F63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4F63" w:rsidRDefault="0082777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настоящий акт о том, что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 выполнения требований в соответствии с Регламентом подключения к единой централизованной информационной системе бюджетного (бухгалтерского) учета и отчетности, утвержденным приказом АУ «ЦИТ» Минцифры Чувашии от __________ № ______ (дале</w:t>
      </w:r>
      <w:r>
        <w:rPr>
          <w:rFonts w:ascii="Times New Roman" w:hAnsi="Times New Roman" w:cs="Times New Roman"/>
          <w:sz w:val="26"/>
          <w:szCs w:val="26"/>
        </w:rPr>
        <w:t>е – Регламент), в том числе проверка:</w:t>
      </w:r>
    </w:p>
    <w:p w:rsidR="00054F63" w:rsidRDefault="0082777F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Наличия разработанных и принятых организационных документов по вопросам информационной безопасности и обеспечения защиты персональных данных в соответствии с федеральными законами «Об информации, информационных техноло</w:t>
      </w:r>
      <w:r>
        <w:rPr>
          <w:rFonts w:ascii="Times New Roman" w:hAnsi="Times New Roman" w:cs="Times New Roman"/>
          <w:sz w:val="26"/>
          <w:szCs w:val="26"/>
        </w:rPr>
        <w:t>гиях и о защите информации», «О персональных данных» и принимаемыми в соответствии с ними нормативными правовыми актами, методическими и руководящими документами в области защиты информации.</w:t>
      </w:r>
    </w:p>
    <w:p w:rsidR="00054F63" w:rsidRDefault="0082777F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режима обеспечения безопасности помещений, в которых </w:t>
      </w:r>
      <w:r>
        <w:rPr>
          <w:rFonts w:ascii="Times New Roman" w:hAnsi="Times New Roman" w:cs="Times New Roman"/>
          <w:sz w:val="26"/>
          <w:szCs w:val="26"/>
        </w:rPr>
        <w:t>размещены автоматизированные рабочие места, предназначенные для обеспечения информационного взаимодействия с единой централизованной информационной системой бюджетного (бухгалтерского) учета и отчетности (далее соответственно – АРМ оператора ЕЦИС, ЕЦИС), т</w:t>
      </w:r>
      <w:r>
        <w:rPr>
          <w:rFonts w:ascii="Times New Roman" w:hAnsi="Times New Roman" w:cs="Times New Roman"/>
          <w:sz w:val="26"/>
          <w:szCs w:val="26"/>
        </w:rPr>
        <w:t>ехнические и программные средства, участвующие в обработке информации при взаимодействии с ЕЦИС, а также помещений, где используются или хранятся средства защиты информации, средства криптографической защиты информации, носители защищаемой информации, перс</w:t>
      </w:r>
      <w:r>
        <w:rPr>
          <w:rFonts w:ascii="Times New Roman" w:hAnsi="Times New Roman" w:cs="Times New Roman"/>
          <w:sz w:val="26"/>
          <w:szCs w:val="26"/>
        </w:rPr>
        <w:t>ональных данных, ключевой, аутентифицирующей и парольной информации.</w:t>
      </w:r>
    </w:p>
    <w:p w:rsidR="00054F63" w:rsidRDefault="0082777F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Подготовленности лиц, ответственных за обеспечение информационного взаимодействия с ЕЦИС, знания ими основных положений законодательства в области защиты информации и обеспечения безопасн</w:t>
      </w:r>
      <w:r>
        <w:rPr>
          <w:rFonts w:ascii="Times New Roman" w:hAnsi="Times New Roman" w:cs="Times New Roman"/>
          <w:sz w:val="26"/>
          <w:szCs w:val="26"/>
        </w:rPr>
        <w:t>ости персональных данных, требований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</w:t>
      </w:r>
      <w:r>
        <w:rPr>
          <w:rFonts w:ascii="Times New Roman" w:hAnsi="Times New Roman" w:cs="Times New Roman"/>
          <w:sz w:val="26"/>
          <w:szCs w:val="26"/>
        </w:rPr>
        <w:t>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2001 года № 152.</w:t>
      </w:r>
    </w:p>
    <w:p w:rsidR="00054F63" w:rsidRDefault="0082777F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Готовности АРМ оператора ЕЦИС, технических и программных средств, участвующих в об</w:t>
      </w:r>
      <w:r>
        <w:rPr>
          <w:rFonts w:ascii="Times New Roman" w:hAnsi="Times New Roman" w:cs="Times New Roman"/>
          <w:sz w:val="26"/>
          <w:szCs w:val="26"/>
        </w:rPr>
        <w:t>работке информации при взаимодействии с ЕЦИС, а также проверка настроек и корректности функционирования следующих средств защиты информации и средств криптографической защиты информации, установленных на АРМ оператора ЕЦИС:</w:t>
      </w:r>
    </w:p>
    <w:p w:rsidR="00054F63" w:rsidRDefault="0082777F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средства криптографической защит</w:t>
      </w:r>
      <w:r>
        <w:rPr>
          <w:sz w:val="26"/>
          <w:szCs w:val="26"/>
        </w:rPr>
        <w:t>ы информации:</w:t>
      </w:r>
    </w:p>
    <w:p w:rsidR="00054F63" w:rsidRDefault="0082777F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______________________________________________________________________;</w:t>
      </w:r>
    </w:p>
    <w:p w:rsidR="00054F63" w:rsidRDefault="0082777F">
      <w:pPr>
        <w:pStyle w:val="afa"/>
        <w:tabs>
          <w:tab w:val="left" w:pos="993"/>
        </w:tabs>
        <w:spacing w:after="0"/>
        <w:ind w:left="70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наименование СКЗИ (например, СКЗИ «КриптоПро </w:t>
      </w:r>
      <w:r>
        <w:rPr>
          <w:sz w:val="26"/>
          <w:szCs w:val="26"/>
          <w:vertAlign w:val="superscript"/>
          <w:lang w:val="en-US"/>
        </w:rPr>
        <w:t>CSP</w:t>
      </w:r>
      <w:r>
        <w:rPr>
          <w:sz w:val="26"/>
          <w:szCs w:val="26"/>
          <w:vertAlign w:val="superscript"/>
        </w:rPr>
        <w:t xml:space="preserve">» версии 4.0, СКЗИ «Континент </w:t>
      </w:r>
      <w:r>
        <w:rPr>
          <w:sz w:val="26"/>
          <w:szCs w:val="26"/>
          <w:vertAlign w:val="superscript"/>
          <w:lang w:val="en-US"/>
        </w:rPr>
        <w:t>TLS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  <w:lang w:val="en-US"/>
        </w:rPr>
        <w:t>VPN</w:t>
      </w:r>
      <w:r>
        <w:rPr>
          <w:sz w:val="26"/>
          <w:szCs w:val="26"/>
          <w:vertAlign w:val="superscript"/>
        </w:rPr>
        <w:t xml:space="preserve"> Клиент» версии 2)</w:t>
      </w:r>
    </w:p>
    <w:p w:rsidR="00054F63" w:rsidRDefault="0082777F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средства антивирусной защиты информации:</w:t>
      </w:r>
    </w:p>
    <w:p w:rsidR="00054F63" w:rsidRDefault="0082777F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____________________________________________;</w:t>
      </w:r>
    </w:p>
    <w:p w:rsidR="00054F63" w:rsidRDefault="0082777F">
      <w:pPr>
        <w:pStyle w:val="afa"/>
        <w:tabs>
          <w:tab w:val="left" w:pos="993"/>
        </w:tabs>
        <w:spacing w:after="0"/>
        <w:ind w:left="70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наименование средства антивирусной защиты (например, Kaspersky Endpoint Security 11 для Windows)</w:t>
      </w:r>
    </w:p>
    <w:p w:rsidR="00054F63" w:rsidRDefault="0082777F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средства защиты информации от несанкционированного доступа:</w:t>
      </w:r>
    </w:p>
    <w:p w:rsidR="00054F63" w:rsidRDefault="0082777F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________________;</w:t>
      </w:r>
    </w:p>
    <w:p w:rsidR="00054F63" w:rsidRDefault="0082777F">
      <w:pPr>
        <w:pStyle w:val="afa"/>
        <w:tabs>
          <w:tab w:val="left" w:pos="993"/>
        </w:tabs>
        <w:spacing w:after="0"/>
        <w:ind w:left="70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наименование средства защиты информации (например, Secret Net Studio)</w:t>
      </w:r>
    </w:p>
    <w:p w:rsidR="00054F63" w:rsidRDefault="00054F63">
      <w:pPr>
        <w:pStyle w:val="afa"/>
        <w:tabs>
          <w:tab w:val="left" w:pos="993"/>
        </w:tabs>
        <w:spacing w:after="0"/>
        <w:ind w:firstLine="709"/>
        <w:rPr>
          <w:sz w:val="26"/>
          <w:szCs w:val="26"/>
        </w:rPr>
      </w:pPr>
    </w:p>
    <w:p w:rsidR="00054F63" w:rsidRDefault="0082777F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Заключение комиссии: </w:t>
      </w:r>
    </w:p>
    <w:p w:rsidR="00054F63" w:rsidRDefault="0082777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принятые организационные и технические меры по обеспечению информационной безопасности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054F63" w:rsidRDefault="0082777F">
      <w:pPr>
        <w:pStyle w:val="ConsNonformat"/>
        <w:widowControl/>
        <w:ind w:left="4248"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организации)</w:t>
      </w:r>
    </w:p>
    <w:p w:rsidR="00054F63" w:rsidRDefault="0082777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соответствуют требованиям Регламента, автоматизированные рабочие места для подключения и обработки информации в единой централизованной информационной системе бюджетного (бухгалтерского) учета и отчетности готовы.</w:t>
      </w:r>
    </w:p>
    <w:p w:rsidR="00054F63" w:rsidRDefault="00054F63">
      <w:pPr>
        <w:pStyle w:val="afa"/>
        <w:tabs>
          <w:tab w:val="left" w:pos="993"/>
        </w:tabs>
        <w:spacing w:after="0"/>
        <w:rPr>
          <w:sz w:val="26"/>
          <w:szCs w:val="26"/>
        </w:rPr>
      </w:pPr>
    </w:p>
    <w:p w:rsidR="00054F63" w:rsidRDefault="0082777F">
      <w:pPr>
        <w:pStyle w:val="afa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Представители комиссии:</w:t>
      </w:r>
    </w:p>
    <w:p w:rsidR="00054F63" w:rsidRDefault="0082777F">
      <w:pPr>
        <w:pStyle w:val="afa"/>
        <w:tabs>
          <w:tab w:val="left" w:pos="99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________________________ </w:t>
      </w:r>
      <w:r>
        <w:rPr>
          <w:sz w:val="26"/>
          <w:szCs w:val="26"/>
        </w:rPr>
        <w:tab/>
        <w:t>_______________________</w:t>
      </w:r>
    </w:p>
    <w:p w:rsidR="00054F63" w:rsidRDefault="0082777F">
      <w:pPr>
        <w:pStyle w:val="afa"/>
        <w:tabs>
          <w:tab w:val="left" w:pos="993"/>
        </w:tabs>
        <w:spacing w:after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(подпись члена комиссии)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(Ф.И.О. члена комиссии)</w:t>
      </w:r>
    </w:p>
    <w:p w:rsidR="00054F63" w:rsidRDefault="0082777F">
      <w:pPr>
        <w:pStyle w:val="afa"/>
        <w:tabs>
          <w:tab w:val="left" w:pos="99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________________________ </w:t>
      </w:r>
      <w:r>
        <w:rPr>
          <w:sz w:val="26"/>
          <w:szCs w:val="26"/>
        </w:rPr>
        <w:tab/>
        <w:t>_______________________</w:t>
      </w:r>
    </w:p>
    <w:p w:rsidR="00054F63" w:rsidRDefault="0082777F">
      <w:pPr>
        <w:pStyle w:val="afa"/>
        <w:tabs>
          <w:tab w:val="left" w:pos="993"/>
        </w:tabs>
        <w:spacing w:after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(подпись члена комиссии)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(Ф.И.О. члена комиссии)</w:t>
      </w:r>
    </w:p>
    <w:p w:rsidR="00054F63" w:rsidRDefault="0082777F">
      <w:pPr>
        <w:pStyle w:val="afa"/>
        <w:tabs>
          <w:tab w:val="left" w:pos="99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ab/>
        <w:t>_______________________</w:t>
      </w:r>
    </w:p>
    <w:p w:rsidR="00054F63" w:rsidRDefault="0082777F">
      <w:pPr>
        <w:pStyle w:val="afa"/>
        <w:tabs>
          <w:tab w:val="left" w:pos="993"/>
        </w:tabs>
        <w:spacing w:after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(подпись члена комиссии)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(Ф.И.О. члена комиссии)</w:t>
      </w:r>
    </w:p>
    <w:p w:rsidR="00054F63" w:rsidRDefault="00054F63">
      <w:pPr>
        <w:pStyle w:val="afa"/>
        <w:tabs>
          <w:tab w:val="left" w:pos="993"/>
        </w:tabs>
        <w:spacing w:after="0"/>
        <w:rPr>
          <w:sz w:val="26"/>
          <w:szCs w:val="26"/>
        </w:rPr>
      </w:pPr>
    </w:p>
    <w:p w:rsidR="00054F63" w:rsidRDefault="00054F63">
      <w:pPr>
        <w:pStyle w:val="afa"/>
        <w:tabs>
          <w:tab w:val="left" w:pos="993"/>
        </w:tabs>
        <w:spacing w:after="0"/>
      </w:pPr>
    </w:p>
    <w:p w:rsidR="00054F63" w:rsidRDefault="00054F63">
      <w:pPr>
        <w:spacing w:after="0" w:line="240" w:lineRule="auto"/>
        <w:rPr>
          <w:rFonts w:ascii="Times New Roman" w:hAnsi="Times New Roman" w:cs="Times New Roman"/>
        </w:rPr>
      </w:pPr>
    </w:p>
    <w:p w:rsidR="00054F63" w:rsidRDefault="00054F63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  <w:sectPr w:rsidR="00054F6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54F63" w:rsidRDefault="008277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  <w:r>
        <w:rPr>
          <w:rFonts w:ascii="Times New Roman" w:hAnsi="Times New Roman" w:cs="Times New Roman"/>
          <w:sz w:val="26"/>
          <w:szCs w:val="26"/>
        </w:rPr>
        <w:br/>
        <w:t>к Регламенту подключения к единой централизованной информационной системе бюджетного (бухгалтерского) учета и отчетно</w:t>
      </w:r>
      <w:r>
        <w:rPr>
          <w:rFonts w:ascii="Times New Roman" w:hAnsi="Times New Roman" w:cs="Times New Roman"/>
          <w:sz w:val="26"/>
          <w:szCs w:val="26"/>
        </w:rPr>
        <w:t>сти</w:t>
      </w:r>
    </w:p>
    <w:p w:rsidR="00054F63" w:rsidRDefault="00054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4F63">
        <w:tc>
          <w:tcPr>
            <w:tcW w:w="4962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right="12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бланке оператора единой централизованной информационной системы бюджетного (бухгалтерского) учета и отчетности</w:t>
            </w:r>
          </w:p>
        </w:tc>
        <w:tc>
          <w:tcPr>
            <w:tcW w:w="4961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автономное учреждение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</w:t>
            </w:r>
          </w:p>
        </w:tc>
      </w:tr>
    </w:tbl>
    <w:p w:rsidR="00054F63" w:rsidRDefault="0005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</w:p>
    <w:p w:rsidR="00054F63" w:rsidRDefault="00827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ЗАЯВКА</w:t>
      </w:r>
    </w:p>
    <w:p w:rsidR="00054F63" w:rsidRDefault="00827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 предоставление доступа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"/>
        <w:gridCol w:w="4252"/>
        <w:gridCol w:w="2691"/>
        <w:gridCol w:w="2833"/>
        <w:gridCol w:w="171"/>
      </w:tblGrid>
      <w:tr w:rsidR="00054F63">
        <w:trPr>
          <w:gridBefore w:val="1"/>
          <w:trHeight w:val="76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– при наличии) пользователя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(муниципального) учреждения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кабинета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предоставления доступа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доступа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интерфейса (рабочего места)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Before w:val="1"/>
        </w:trPr>
        <w:tc>
          <w:tcPr>
            <w:tcW w:w="4219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Назначенные права</w:t>
            </w:r>
          </w:p>
        </w:tc>
        <w:tc>
          <w:tcPr>
            <w:tcW w:w="5699" w:type="dxa"/>
            <w:gridSpan w:val="3"/>
          </w:tcPr>
          <w:p w:rsidR="00054F63" w:rsidRDefault="00054F63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54F63">
        <w:trPr>
          <w:gridAfter w:val="1"/>
          <w:wAfter w:w="171" w:type="dxa"/>
        </w:trPr>
        <w:tc>
          <w:tcPr>
            <w:tcW w:w="4253" w:type="dxa"/>
            <w:gridSpan w:val="2"/>
            <w:shd w:val="clear" w:color="auto" w:fill="auto"/>
          </w:tcPr>
          <w:p w:rsidR="00054F63" w:rsidRDefault="00054F63">
            <w:pPr>
              <w:tabs>
                <w:tab w:val="left" w:pos="3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54F63" w:rsidRDefault="00054F63">
            <w:pPr>
              <w:tabs>
                <w:tab w:val="left" w:pos="3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4F63" w:rsidRDefault="00054F63">
            <w:pPr>
              <w:tabs>
                <w:tab w:val="left" w:pos="3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4F63" w:rsidRDefault="00054F63">
      <w:pPr>
        <w:tabs>
          <w:tab w:val="left" w:pos="3133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5" w:type="dxa"/>
        <w:tblInd w:w="-34" w:type="dxa"/>
        <w:tblLook w:val="04A0" w:firstRow="1" w:lastRow="0" w:firstColumn="1" w:lastColumn="0" w:noHBand="0" w:noVBand="1"/>
      </w:tblPr>
      <w:tblGrid>
        <w:gridCol w:w="4395"/>
        <w:gridCol w:w="2410"/>
        <w:gridCol w:w="2890"/>
      </w:tblGrid>
      <w:tr w:rsidR="00054F63">
        <w:tc>
          <w:tcPr>
            <w:tcW w:w="4395" w:type="dxa"/>
            <w:shd w:val="clear" w:color="auto" w:fill="auto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«___» _______ 20__ года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054F63">
        <w:tc>
          <w:tcPr>
            <w:tcW w:w="4395" w:type="dxa"/>
            <w:shd w:val="clear" w:color="auto" w:fill="auto"/>
          </w:tcPr>
          <w:p w:rsidR="00054F63" w:rsidRDefault="00054F63">
            <w:pPr>
              <w:tabs>
                <w:tab w:val="left" w:pos="3133"/>
              </w:tabs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auto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(расшифровка)</w:t>
            </w:r>
          </w:p>
        </w:tc>
      </w:tr>
    </w:tbl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54F6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54F63" w:rsidRDefault="008277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  <w:r>
        <w:rPr>
          <w:rFonts w:ascii="Times New Roman" w:hAnsi="Times New Roman" w:cs="Times New Roman"/>
          <w:sz w:val="26"/>
          <w:szCs w:val="26"/>
        </w:rPr>
        <w:br/>
        <w:t>к Регламенту подключения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4F63">
        <w:tc>
          <w:tcPr>
            <w:tcW w:w="4962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right="12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бланке оператора единой централизованной информационной системы бюджетного (бухгалтерско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го) учета и отчетности</w:t>
            </w:r>
          </w:p>
        </w:tc>
        <w:tc>
          <w:tcPr>
            <w:tcW w:w="4961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автономное учреждение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</w:t>
            </w:r>
          </w:p>
        </w:tc>
      </w:tr>
    </w:tbl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82777F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ЗАЯВКА</w:t>
      </w:r>
    </w:p>
    <w:p w:rsidR="00054F63" w:rsidRDefault="0082777F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 прекращение доступа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6076"/>
      </w:tblGrid>
      <w:tr w:rsidR="00054F63">
        <w:trPr>
          <w:trHeight w:val="419"/>
        </w:trPr>
        <w:tc>
          <w:tcPr>
            <w:tcW w:w="3842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 пользователя</w:t>
            </w:r>
          </w:p>
        </w:tc>
        <w:tc>
          <w:tcPr>
            <w:tcW w:w="6076" w:type="dxa"/>
          </w:tcPr>
          <w:p w:rsidR="00054F63" w:rsidRDefault="00054F6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4F63">
        <w:trPr>
          <w:trHeight w:val="425"/>
        </w:trPr>
        <w:tc>
          <w:tcPr>
            <w:tcW w:w="3842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государственного (муниципального) учреждения</w:t>
            </w:r>
          </w:p>
        </w:tc>
        <w:tc>
          <w:tcPr>
            <w:tcW w:w="6076" w:type="dxa"/>
          </w:tcPr>
          <w:p w:rsidR="00054F63" w:rsidRDefault="00054F6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4F63">
        <w:trPr>
          <w:trHeight w:val="417"/>
        </w:trPr>
        <w:tc>
          <w:tcPr>
            <w:tcW w:w="3842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076" w:type="dxa"/>
          </w:tcPr>
          <w:p w:rsidR="00054F63" w:rsidRDefault="00054F6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054F63">
        <w:trPr>
          <w:trHeight w:val="303"/>
        </w:trPr>
        <w:tc>
          <w:tcPr>
            <w:tcW w:w="3842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прекращения доступа</w:t>
            </w:r>
          </w:p>
        </w:tc>
        <w:tc>
          <w:tcPr>
            <w:tcW w:w="6076" w:type="dxa"/>
          </w:tcPr>
          <w:p w:rsidR="00054F63" w:rsidRDefault="00054F6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4F63">
        <w:trPr>
          <w:trHeight w:val="411"/>
        </w:trPr>
        <w:tc>
          <w:tcPr>
            <w:tcW w:w="3842" w:type="dxa"/>
            <w:vAlign w:val="center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отключения</w:t>
            </w:r>
          </w:p>
        </w:tc>
        <w:tc>
          <w:tcPr>
            <w:tcW w:w="6076" w:type="dxa"/>
          </w:tcPr>
          <w:p w:rsidR="00054F63" w:rsidRDefault="00054F6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4F63" w:rsidRDefault="00054F63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F63" w:rsidRDefault="00054F63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Ind w:w="-34" w:type="dxa"/>
        <w:tblLook w:val="04A0" w:firstRow="1" w:lastRow="0" w:firstColumn="1" w:lastColumn="0" w:noHBand="0" w:noVBand="1"/>
      </w:tblPr>
      <w:tblGrid>
        <w:gridCol w:w="4395"/>
        <w:gridCol w:w="2410"/>
        <w:gridCol w:w="2890"/>
      </w:tblGrid>
      <w:tr w:rsidR="00054F63">
        <w:tc>
          <w:tcPr>
            <w:tcW w:w="4395" w:type="dxa"/>
            <w:shd w:val="clear" w:color="auto" w:fill="auto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«___» _______ 20__ года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054F63">
        <w:tc>
          <w:tcPr>
            <w:tcW w:w="4395" w:type="dxa"/>
            <w:shd w:val="clear" w:color="auto" w:fill="auto"/>
          </w:tcPr>
          <w:p w:rsidR="00054F63" w:rsidRDefault="00054F63">
            <w:pPr>
              <w:tabs>
                <w:tab w:val="left" w:pos="3133"/>
              </w:tabs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auto"/>
          </w:tcPr>
          <w:p w:rsidR="00054F63" w:rsidRDefault="0082777F">
            <w:pPr>
              <w:tabs>
                <w:tab w:val="left" w:pos="3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(расшифровка)</w:t>
            </w:r>
          </w:p>
        </w:tc>
      </w:tr>
    </w:tbl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4F63" w:rsidRDefault="00054F63">
      <w:pPr>
        <w:spacing w:after="0" w:line="240" w:lineRule="auto"/>
        <w:ind w:left="5040"/>
        <w:jc w:val="center"/>
        <w:rPr>
          <w:rFonts w:ascii="Times New Roman" w:hAnsi="Times New Roman" w:cs="Times New Roman"/>
        </w:rPr>
        <w:sectPr w:rsidR="00054F6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54F63" w:rsidRDefault="008277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Регламенту подключения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4F63">
        <w:tc>
          <w:tcPr>
            <w:tcW w:w="4962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right="12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бланке оператора единой централизованной информационной системы бюджетного (бухгалтерского) учета и отчетности</w:t>
            </w:r>
          </w:p>
        </w:tc>
        <w:tc>
          <w:tcPr>
            <w:tcW w:w="4961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 «ЦИТ» Минцифры 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увашии </w:t>
            </w:r>
          </w:p>
          <w:p w:rsidR="00054F63" w:rsidRDefault="00054F63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4F63" w:rsidRDefault="00054F63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4F63" w:rsidRDefault="0082777F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ЗАЯВКА</w:t>
      </w:r>
    </w:p>
    <w:p w:rsidR="00054F63" w:rsidRDefault="0082777F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 изготовление сертификата ключа проверки электронной подписи</w:t>
      </w:r>
    </w:p>
    <w:p w:rsidR="00054F63" w:rsidRDefault="00054F63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F63" w:rsidRDefault="008277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054F63" w:rsidRDefault="008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организации)</w:t>
      </w:r>
    </w:p>
    <w:p w:rsidR="00054F63" w:rsidRDefault="0082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организации защищенного информационного взаимодействия при подключении к единой централизованной информационной системе бюджетного (бухгалтерского) учета и отчетности просит изготовить сертификат ключа проверки электронной подписи, содержащий следую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щие данные</w:t>
      </w:r>
      <w:r>
        <w:rPr>
          <w:rStyle w:val="aff4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4F63" w:rsidRDefault="0005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45"/>
      </w:tblGrid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(сокращенное)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улицы, номер дома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245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Чувашская Республика – Чувашия</w:t>
            </w:r>
          </w:p>
        </w:tc>
      </w:tr>
      <w:tr w:rsidR="00054F63">
        <w:trPr>
          <w:trHeight w:val="241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5245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организации 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организации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Используемое средство электронной подписи (установленное на АРМ)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СКЗИ «КриптоПро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СКЗИ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СКЗИ «Континент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Клиент»</w:t>
            </w:r>
          </w:p>
        </w:tc>
      </w:tr>
    </w:tbl>
    <w:p w:rsidR="00054F63" w:rsidRDefault="0005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F63" w:rsidRDefault="0082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запрос на изготовление сертификат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электронном виде</w:t>
      </w:r>
      <w:r>
        <w:rPr>
          <w:rStyle w:val="aff4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54F63" w:rsidRDefault="0005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58"/>
      </w:tblGrid>
      <w:tr w:rsidR="00054F63">
        <w:tc>
          <w:tcPr>
            <w:tcW w:w="5148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054F63" w:rsidRDefault="0005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c>
          <w:tcPr>
            <w:tcW w:w="514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 </w:t>
            </w:r>
          </w:p>
          <w:p w:rsidR="00054F63" w:rsidRDefault="0082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4458" w:type="dxa"/>
          </w:tcPr>
          <w:p w:rsidR="00054F63" w:rsidRDefault="00827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 _____________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54F63" w:rsidRDefault="0082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(расшифровка)</w:t>
            </w:r>
          </w:p>
        </w:tc>
      </w:tr>
      <w:tr w:rsidR="00054F63">
        <w:tc>
          <w:tcPr>
            <w:tcW w:w="5148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054F63" w:rsidRDefault="0005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F63" w:rsidRDefault="00054F63">
      <w:pPr>
        <w:spacing w:after="0" w:line="240" w:lineRule="auto"/>
        <w:rPr>
          <w:rFonts w:ascii="Times New Roman" w:hAnsi="Times New Roman" w:cs="Times New Roman"/>
          <w:strike/>
        </w:rPr>
        <w:sectPr w:rsidR="00054F6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54F63" w:rsidRDefault="008277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6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Регламенту подключения к единой централизованной информационной системе бюджетного (бухгалтерского) учета и отчетности</w:t>
      </w: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4F63">
        <w:tc>
          <w:tcPr>
            <w:tcW w:w="4962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right="12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бланке оператора единой централизованной информационной системы бюджетного (бухгалтерского) учета и отчетности</w:t>
            </w:r>
          </w:p>
        </w:tc>
        <w:tc>
          <w:tcPr>
            <w:tcW w:w="4961" w:type="dxa"/>
          </w:tcPr>
          <w:p w:rsidR="00054F63" w:rsidRDefault="0082777F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 «ЦИТ» Минцифры Чувашии </w:t>
            </w:r>
          </w:p>
          <w:p w:rsidR="00054F63" w:rsidRDefault="00054F63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4F63" w:rsidRDefault="00054F63">
            <w:pPr>
              <w:shd w:val="clear" w:color="auto" w:fill="FFFFFF"/>
              <w:spacing w:after="0" w:line="322" w:lineRule="exact"/>
              <w:ind w:left="14" w:right="125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4F63" w:rsidRDefault="0005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F63" w:rsidRDefault="0082777F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ЗАЯВКА</w:t>
      </w:r>
    </w:p>
    <w:p w:rsidR="00054F63" w:rsidRDefault="0082777F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 прекращение действия (отзыв) сертификата ключа проверки электронной подписи</w:t>
      </w:r>
    </w:p>
    <w:p w:rsidR="00054F63" w:rsidRDefault="00054F63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F63" w:rsidRDefault="008277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054F63" w:rsidRDefault="008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организации)</w:t>
      </w:r>
    </w:p>
    <w:p w:rsidR="00054F63" w:rsidRDefault="008277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___________________________________________________________________</w:t>
      </w:r>
    </w:p>
    <w:p w:rsidR="00054F63" w:rsidRDefault="008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(причина прекращения действия сертификата)</w:t>
      </w:r>
    </w:p>
    <w:p w:rsidR="00054F63" w:rsidRDefault="0082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прекратить действие сертификата ключа проверки элек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тронной подписи, используемого для организации защищенного информационного взаимодействия с единой централизованной информационной системой бюджетного (бухгалтерского) учета и отчетности, содержащего следующие данные</w:t>
      </w:r>
      <w:r>
        <w:rPr>
          <w:rStyle w:val="aff4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4F63" w:rsidRDefault="00054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66"/>
      </w:tblGrid>
      <w:tr w:rsidR="00054F63">
        <w:tc>
          <w:tcPr>
            <w:tcW w:w="3652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сертификата</w:t>
            </w:r>
          </w:p>
        </w:tc>
        <w:tc>
          <w:tcPr>
            <w:tcW w:w="6266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c>
          <w:tcPr>
            <w:tcW w:w="3652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ганизации </w:t>
            </w:r>
          </w:p>
        </w:tc>
        <w:tc>
          <w:tcPr>
            <w:tcW w:w="6266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c>
          <w:tcPr>
            <w:tcW w:w="3652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266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c>
          <w:tcPr>
            <w:tcW w:w="3652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6266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c>
          <w:tcPr>
            <w:tcW w:w="3652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266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F63" w:rsidRDefault="0005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F63" w:rsidRDefault="0005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58"/>
      </w:tblGrid>
      <w:tr w:rsidR="00054F63">
        <w:tc>
          <w:tcPr>
            <w:tcW w:w="5148" w:type="dxa"/>
          </w:tcPr>
          <w:p w:rsidR="00054F63" w:rsidRDefault="0005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054F63" w:rsidRDefault="0005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F63">
        <w:tc>
          <w:tcPr>
            <w:tcW w:w="5148" w:type="dxa"/>
          </w:tcPr>
          <w:p w:rsidR="00054F63" w:rsidRDefault="0082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 </w:t>
            </w:r>
          </w:p>
          <w:p w:rsidR="00054F63" w:rsidRDefault="0082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4458" w:type="dxa"/>
          </w:tcPr>
          <w:p w:rsidR="00054F63" w:rsidRDefault="00827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 _____________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54F63" w:rsidRDefault="0082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(расшифровка)</w:t>
            </w:r>
          </w:p>
        </w:tc>
      </w:tr>
    </w:tbl>
    <w:p w:rsidR="00054F63" w:rsidRDefault="00054F63">
      <w:pPr>
        <w:spacing w:after="0" w:line="240" w:lineRule="auto"/>
        <w:rPr>
          <w:rFonts w:ascii="Times New Roman" w:hAnsi="Times New Roman" w:cs="Times New Roman"/>
        </w:rPr>
      </w:pPr>
    </w:p>
    <w:sectPr w:rsidR="00054F63">
      <w:footnotePr>
        <w:numRestart w:val="eachSect"/>
      </w:foot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63" w:rsidRDefault="0082777F">
      <w:pPr>
        <w:spacing w:after="0" w:line="240" w:lineRule="auto"/>
      </w:pPr>
      <w:r>
        <w:separator/>
      </w:r>
    </w:p>
  </w:endnote>
  <w:endnote w:type="continuationSeparator" w:id="0">
    <w:p w:rsidR="00054F63" w:rsidRDefault="0082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63" w:rsidRDefault="00054F63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63" w:rsidRDefault="0082777F">
      <w:pPr>
        <w:spacing w:after="0" w:line="240" w:lineRule="auto"/>
      </w:pPr>
      <w:r>
        <w:separator/>
      </w:r>
    </w:p>
  </w:footnote>
  <w:footnote w:type="continuationSeparator" w:id="0">
    <w:p w:rsidR="00054F63" w:rsidRDefault="0082777F">
      <w:pPr>
        <w:spacing w:after="0" w:line="240" w:lineRule="auto"/>
      </w:pPr>
      <w:r>
        <w:continuationSeparator/>
      </w:r>
    </w:p>
  </w:footnote>
  <w:footnote w:id="1">
    <w:p w:rsidR="00054F63" w:rsidRDefault="0082777F">
      <w:pPr>
        <w:pStyle w:val="aff2"/>
        <w:jc w:val="both"/>
        <w:rPr>
          <w:rFonts w:ascii="Times New Roman" w:hAnsi="Times New Roman" w:cs="Times New Roman"/>
        </w:rPr>
      </w:pPr>
      <w:r>
        <w:rPr>
          <w:rStyle w:val="af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издаваемый неквалифицированный </w:t>
      </w:r>
      <w:r>
        <w:rPr>
          <w:rFonts w:ascii="Times New Roman" w:hAnsi="Times New Roman" w:cs="Times New Roman"/>
        </w:rPr>
        <w:t>сертификат, исходя из технических возможностей программного обеспечения и (или) СКЗИ, используемого для формирования запроса на изготовление сертификата, будут включены только данные, присутствующие в запросе на изготовление сертификата.</w:t>
      </w:r>
    </w:p>
  </w:footnote>
  <w:footnote w:id="2">
    <w:p w:rsidR="00054F63" w:rsidRDefault="0082777F">
      <w:pPr>
        <w:pStyle w:val="aff2"/>
        <w:jc w:val="both"/>
      </w:pPr>
      <w:r>
        <w:rPr>
          <w:rStyle w:val="af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Указывается тол</w:t>
      </w:r>
      <w:r>
        <w:rPr>
          <w:rFonts w:ascii="Times New Roman" w:hAnsi="Times New Roman" w:cs="Times New Roman"/>
        </w:rPr>
        <w:t>ько в случае, если запрос на изготовление сертификата формируется на АРМ пользователя ЕЦИС.</w:t>
      </w:r>
    </w:p>
  </w:footnote>
  <w:footnote w:id="3">
    <w:p w:rsidR="00054F63" w:rsidRDefault="0082777F">
      <w:pPr>
        <w:pStyle w:val="aff2"/>
        <w:rPr>
          <w:rFonts w:ascii="Times New Roman" w:hAnsi="Times New Roman" w:cs="Times New Roman"/>
        </w:rPr>
      </w:pPr>
      <w:r>
        <w:rPr>
          <w:rStyle w:val="af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Серийный номер сертификата указывается в обязательном порядке, иные данные указываются, если они присутствуют в сертификате.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802163"/>
      <w:docPartObj>
        <w:docPartGallery w:val="Page Numbers (Top of Page)"/>
        <w:docPartUnique/>
      </w:docPartObj>
    </w:sdtPr>
    <w:sdtEndPr/>
    <w:sdtContent>
      <w:p w:rsidR="00054F63" w:rsidRDefault="0082777F">
        <w:pPr>
          <w:pStyle w:val="af3"/>
          <w:jc w:val="center"/>
          <w:rPr>
            <w:rStyle w:val="ac"/>
            <w:sz w:val="22"/>
            <w:u w:val="single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3C3"/>
    <w:multiLevelType w:val="multilevel"/>
    <w:tmpl w:val="32EAB3FC"/>
    <w:lvl w:ilvl="0">
      <w:start w:val="1"/>
      <w:numFmt w:val="decimal"/>
      <w:pStyle w:val="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2264" w:hanging="420"/>
      </w:pPr>
      <w:rPr>
        <w:rFonts w:hint="default"/>
      </w:rPr>
    </w:lvl>
    <w:lvl w:ilvl="2">
      <w:start w:val="1"/>
      <w:numFmt w:val="decimal"/>
      <w:pStyle w:val="211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ind w:left="2127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3031AB1"/>
    <w:multiLevelType w:val="multilevel"/>
    <w:tmpl w:val="6E7E6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1763EB4"/>
    <w:multiLevelType w:val="multilevel"/>
    <w:tmpl w:val="889A0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7E69DB"/>
    <w:multiLevelType w:val="hybridMultilevel"/>
    <w:tmpl w:val="8B3CF194"/>
    <w:lvl w:ilvl="0" w:tplc="67DCF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260AA2">
      <w:start w:val="1"/>
      <w:numFmt w:val="lowerLetter"/>
      <w:lvlText w:val="%2."/>
      <w:lvlJc w:val="left"/>
      <w:pPr>
        <w:ind w:left="1440" w:hanging="360"/>
      </w:pPr>
    </w:lvl>
    <w:lvl w:ilvl="2" w:tplc="26F04914">
      <w:start w:val="1"/>
      <w:numFmt w:val="lowerRoman"/>
      <w:lvlText w:val="%3."/>
      <w:lvlJc w:val="right"/>
      <w:pPr>
        <w:ind w:left="2160" w:hanging="180"/>
      </w:pPr>
    </w:lvl>
    <w:lvl w:ilvl="3" w:tplc="E24E8514">
      <w:start w:val="1"/>
      <w:numFmt w:val="decimal"/>
      <w:lvlText w:val="%4."/>
      <w:lvlJc w:val="left"/>
      <w:pPr>
        <w:ind w:left="2880" w:hanging="360"/>
      </w:pPr>
    </w:lvl>
    <w:lvl w:ilvl="4" w:tplc="BD4A3D44">
      <w:start w:val="1"/>
      <w:numFmt w:val="lowerLetter"/>
      <w:lvlText w:val="%5."/>
      <w:lvlJc w:val="left"/>
      <w:pPr>
        <w:ind w:left="3600" w:hanging="360"/>
      </w:pPr>
    </w:lvl>
    <w:lvl w:ilvl="5" w:tplc="A3EC0884">
      <w:start w:val="1"/>
      <w:numFmt w:val="lowerRoman"/>
      <w:lvlText w:val="%6."/>
      <w:lvlJc w:val="right"/>
      <w:pPr>
        <w:ind w:left="4320" w:hanging="180"/>
      </w:pPr>
    </w:lvl>
    <w:lvl w:ilvl="6" w:tplc="0F488C5E">
      <w:start w:val="1"/>
      <w:numFmt w:val="decimal"/>
      <w:lvlText w:val="%7."/>
      <w:lvlJc w:val="left"/>
      <w:pPr>
        <w:ind w:left="5040" w:hanging="360"/>
      </w:pPr>
    </w:lvl>
    <w:lvl w:ilvl="7" w:tplc="9912BEEA">
      <w:start w:val="1"/>
      <w:numFmt w:val="lowerLetter"/>
      <w:lvlText w:val="%8."/>
      <w:lvlJc w:val="left"/>
      <w:pPr>
        <w:ind w:left="5760" w:hanging="360"/>
      </w:pPr>
    </w:lvl>
    <w:lvl w:ilvl="8" w:tplc="B088FF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10D8B"/>
    <w:multiLevelType w:val="hybridMultilevel"/>
    <w:tmpl w:val="71BA7B0E"/>
    <w:lvl w:ilvl="0" w:tplc="4C386A08">
      <w:start w:val="1"/>
      <w:numFmt w:val="decimal"/>
      <w:pStyle w:val="10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 w:tplc="2B28E0E0">
      <w:start w:val="1"/>
      <w:numFmt w:val="lowerLetter"/>
      <w:lvlText w:val="%2."/>
      <w:lvlJc w:val="left"/>
      <w:pPr>
        <w:ind w:left="1789" w:hanging="360"/>
      </w:pPr>
    </w:lvl>
    <w:lvl w:ilvl="2" w:tplc="9DCC156A">
      <w:start w:val="1"/>
      <w:numFmt w:val="lowerRoman"/>
      <w:lvlText w:val="%3."/>
      <w:lvlJc w:val="right"/>
      <w:pPr>
        <w:ind w:left="2509" w:hanging="180"/>
      </w:pPr>
    </w:lvl>
    <w:lvl w:ilvl="3" w:tplc="06B6F244">
      <w:start w:val="1"/>
      <w:numFmt w:val="decimal"/>
      <w:lvlText w:val="%4."/>
      <w:lvlJc w:val="left"/>
      <w:pPr>
        <w:ind w:left="3229" w:hanging="360"/>
      </w:pPr>
    </w:lvl>
    <w:lvl w:ilvl="4" w:tplc="D8886A16">
      <w:start w:val="1"/>
      <w:numFmt w:val="lowerLetter"/>
      <w:lvlText w:val="%5."/>
      <w:lvlJc w:val="left"/>
      <w:pPr>
        <w:ind w:left="3949" w:hanging="360"/>
      </w:pPr>
    </w:lvl>
    <w:lvl w:ilvl="5" w:tplc="62BAECA0">
      <w:start w:val="1"/>
      <w:numFmt w:val="lowerRoman"/>
      <w:lvlText w:val="%6."/>
      <w:lvlJc w:val="right"/>
      <w:pPr>
        <w:ind w:left="4669" w:hanging="180"/>
      </w:pPr>
    </w:lvl>
    <w:lvl w:ilvl="6" w:tplc="4CEA241C">
      <w:start w:val="1"/>
      <w:numFmt w:val="decimal"/>
      <w:lvlText w:val="%7."/>
      <w:lvlJc w:val="left"/>
      <w:pPr>
        <w:ind w:left="5389" w:hanging="360"/>
      </w:pPr>
    </w:lvl>
    <w:lvl w:ilvl="7" w:tplc="C7AC8B86">
      <w:start w:val="1"/>
      <w:numFmt w:val="lowerLetter"/>
      <w:lvlText w:val="%8."/>
      <w:lvlJc w:val="left"/>
      <w:pPr>
        <w:ind w:left="6109" w:hanging="360"/>
      </w:pPr>
    </w:lvl>
    <w:lvl w:ilvl="8" w:tplc="338C030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1736BB"/>
    <w:multiLevelType w:val="hybridMultilevel"/>
    <w:tmpl w:val="B3BA9BB2"/>
    <w:lvl w:ilvl="0" w:tplc="82D22830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1DAA79DE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CF92930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577248B2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2B54826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8E2EDC6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67C6A19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69427E3C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64989F4C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6" w15:restartNumberingAfterBreak="0">
    <w:nsid w:val="717C72EF"/>
    <w:multiLevelType w:val="hybridMultilevel"/>
    <w:tmpl w:val="01AEE0D0"/>
    <w:lvl w:ilvl="0" w:tplc="27486A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E0F018AE">
      <w:start w:val="1"/>
      <w:numFmt w:val="lowerLetter"/>
      <w:lvlText w:val="%2."/>
      <w:lvlJc w:val="left"/>
      <w:pPr>
        <w:ind w:left="1789" w:hanging="360"/>
      </w:pPr>
    </w:lvl>
    <w:lvl w:ilvl="2" w:tplc="0A0234DE">
      <w:start w:val="1"/>
      <w:numFmt w:val="lowerRoman"/>
      <w:lvlText w:val="%3."/>
      <w:lvlJc w:val="right"/>
      <w:pPr>
        <w:ind w:left="2509" w:hanging="180"/>
      </w:pPr>
    </w:lvl>
    <w:lvl w:ilvl="3" w:tplc="95EC03BA">
      <w:start w:val="1"/>
      <w:numFmt w:val="decimal"/>
      <w:lvlText w:val="%4."/>
      <w:lvlJc w:val="left"/>
      <w:pPr>
        <w:ind w:left="3229" w:hanging="360"/>
      </w:pPr>
    </w:lvl>
    <w:lvl w:ilvl="4" w:tplc="350C9F6A">
      <w:start w:val="1"/>
      <w:numFmt w:val="lowerLetter"/>
      <w:lvlText w:val="%5."/>
      <w:lvlJc w:val="left"/>
      <w:pPr>
        <w:ind w:left="3949" w:hanging="360"/>
      </w:pPr>
    </w:lvl>
    <w:lvl w:ilvl="5" w:tplc="3D987F34">
      <w:start w:val="1"/>
      <w:numFmt w:val="lowerRoman"/>
      <w:lvlText w:val="%6."/>
      <w:lvlJc w:val="right"/>
      <w:pPr>
        <w:ind w:left="4669" w:hanging="180"/>
      </w:pPr>
    </w:lvl>
    <w:lvl w:ilvl="6" w:tplc="4E94E0B0">
      <w:start w:val="1"/>
      <w:numFmt w:val="decimal"/>
      <w:lvlText w:val="%7."/>
      <w:lvlJc w:val="left"/>
      <w:pPr>
        <w:ind w:left="5389" w:hanging="360"/>
      </w:pPr>
    </w:lvl>
    <w:lvl w:ilvl="7" w:tplc="665A0334">
      <w:start w:val="1"/>
      <w:numFmt w:val="lowerLetter"/>
      <w:lvlText w:val="%8."/>
      <w:lvlJc w:val="left"/>
      <w:pPr>
        <w:ind w:left="6109" w:hanging="360"/>
      </w:pPr>
    </w:lvl>
    <w:lvl w:ilvl="8" w:tplc="1E8AF10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3A30AE"/>
    <w:multiLevelType w:val="hybridMultilevel"/>
    <w:tmpl w:val="6FA68E80"/>
    <w:lvl w:ilvl="0" w:tplc="29C858DA">
      <w:start w:val="1"/>
      <w:numFmt w:val="bullet"/>
      <w:pStyle w:val="a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F0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AB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E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64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C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81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41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63"/>
    <w:rsid w:val="00054F63"/>
    <w:rsid w:val="008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422E6-55EB-4006-B107-4A3650F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eastAsiaTheme="minorEastAsia"/>
      <w:sz w:val="28"/>
    </w:rPr>
  </w:style>
  <w:style w:type="paragraph" w:styleId="12">
    <w:name w:val="heading 1"/>
    <w:basedOn w:val="a1"/>
    <w:next w:val="a1"/>
    <w:link w:val="13"/>
    <w:uiPriority w:val="9"/>
    <w:qFormat/>
    <w:pPr>
      <w:keepNext/>
      <w:keepLines/>
      <w:pageBreakBefore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3">
    <w:name w:val="Заголовок 1 Знак"/>
    <w:basedOn w:val="a2"/>
    <w:link w:val="12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3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Book Title"/>
    <w:basedOn w:val="a2"/>
    <w:uiPriority w:val="33"/>
    <w:qFormat/>
    <w:rPr>
      <w:b/>
      <w:bCs/>
      <w:smallCaps/>
      <w:spacing w:val="5"/>
    </w:rPr>
  </w:style>
  <w:style w:type="paragraph" w:styleId="ad">
    <w:name w:val="caption"/>
    <w:basedOn w:val="a1"/>
    <w:next w:val="a1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1"/>
    <w:next w:val="a1"/>
    <w:link w:val="af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2"/>
    <w:link w:val="a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0">
    <w:name w:val="List Paragraph"/>
    <w:basedOn w:val="a1"/>
    <w:link w:val="af0"/>
    <w:uiPriority w:val="34"/>
    <w:qFormat/>
    <w:pPr>
      <w:numPr>
        <w:numId w:val="1"/>
      </w:numPr>
      <w:contextualSpacing/>
      <w:jc w:val="both"/>
    </w:pPr>
  </w:style>
  <w:style w:type="paragraph" w:customStyle="1" w:styleId="af1">
    <w:name w:val="По ширине"/>
    <w:basedOn w:val="a1"/>
    <w:link w:val="af2"/>
    <w:qFormat/>
    <w:pPr>
      <w:jc w:val="both"/>
    </w:pPr>
  </w:style>
  <w:style w:type="character" w:customStyle="1" w:styleId="af2">
    <w:name w:val="По ширине Знак"/>
    <w:basedOn w:val="a2"/>
    <w:link w:val="af1"/>
    <w:rPr>
      <w:rFonts w:eastAsiaTheme="minorEastAsia"/>
      <w:sz w:val="28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Pr>
      <w:rFonts w:eastAsiaTheme="minorEastAsia"/>
      <w:sz w:val="28"/>
    </w:rPr>
  </w:style>
  <w:style w:type="paragraph" w:styleId="af5">
    <w:name w:val="footer"/>
    <w:basedOn w:val="a1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Pr>
      <w:rFonts w:eastAsiaTheme="minorEastAsia"/>
      <w:sz w:val="28"/>
    </w:rPr>
  </w:style>
  <w:style w:type="paragraph" w:styleId="15">
    <w:name w:val="toc 1"/>
    <w:basedOn w:val="a1"/>
    <w:next w:val="a1"/>
    <w:uiPriority w:val="39"/>
    <w:unhideWhenUsed/>
    <w:pPr>
      <w:spacing w:before="120" w:after="120"/>
    </w:pPr>
    <w:rPr>
      <w:b/>
      <w:bCs/>
      <w:caps/>
      <w:sz w:val="20"/>
      <w:szCs w:val="20"/>
    </w:rPr>
  </w:style>
  <w:style w:type="paragraph" w:customStyle="1" w:styleId="af7">
    <w:name w:val="Титульный лист Обычный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1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16">
    <w:name w:val="Заголовок 1 (по центру) Знак"/>
    <w:basedOn w:val="13"/>
    <w:link w:val="17"/>
    <w:qFormat/>
    <w:rPr>
      <w:rFonts w:ascii="Cambria" w:eastAsia="Times New Roman" w:hAnsi="Cambria" w:cs="Times New Roman"/>
      <w:b/>
      <w:bCs/>
      <w:color w:val="365F91" w:themeColor="accent1" w:themeShade="BF"/>
      <w:sz w:val="32"/>
      <w:szCs w:val="32"/>
    </w:rPr>
  </w:style>
  <w:style w:type="paragraph" w:customStyle="1" w:styleId="17">
    <w:name w:val="Заголовок 1 (по центру)"/>
    <w:basedOn w:val="12"/>
    <w:link w:val="16"/>
    <w:qFormat/>
    <w:pPr>
      <w:keepLines w:val="0"/>
      <w:pageBreakBefore w:val="0"/>
      <w:spacing w:before="0" w:after="360" w:line="240" w:lineRule="auto"/>
      <w:jc w:val="center"/>
      <w:outlineLvl w:val="1"/>
    </w:pPr>
    <w:rPr>
      <w:rFonts w:ascii="Cambria" w:eastAsia="Times New Roman" w:hAnsi="Cambria" w:cs="Times New Roman"/>
      <w:sz w:val="32"/>
      <w:szCs w:val="32"/>
    </w:rPr>
  </w:style>
  <w:style w:type="paragraph" w:customStyle="1" w:styleId="afa">
    <w:name w:val="Основной текст новый"/>
    <w:basedOn w:val="a1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тступы элементов списка"/>
    <w:basedOn w:val="a1"/>
    <w:qFormat/>
    <w:pPr>
      <w:widowControl w:val="0"/>
      <w:numPr>
        <w:numId w:val="2"/>
      </w:numPr>
      <w:tabs>
        <w:tab w:val="left" w:pos="993"/>
      </w:tabs>
      <w:spacing w:after="0"/>
      <w:ind w:left="0" w:firstLine="709"/>
      <w:jc w:val="both"/>
    </w:pPr>
    <w:rPr>
      <w:rFonts w:ascii="Times New Roman" w:eastAsia="Calibri" w:hAnsi="Times New Roman" w:cs="Times New Roman"/>
      <w:szCs w:val="28"/>
      <w:lang w:eastAsia="ru-RU"/>
    </w:rPr>
  </w:style>
  <w:style w:type="table" w:customStyle="1" w:styleId="18">
    <w:name w:val="Сетка таблицы1"/>
    <w:basedOn w:val="a3"/>
    <w:next w:val="ab"/>
    <w:uiPriority w:val="59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/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1"/>
    <w:link w:val="af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rFonts w:eastAsiaTheme="minorEastAsia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eastAsiaTheme="minorEastAsia"/>
      <w:b/>
      <w:bCs/>
      <w:sz w:val="20"/>
      <w:szCs w:val="20"/>
    </w:rPr>
  </w:style>
  <w:style w:type="character" w:styleId="aff0">
    <w:name w:val="Hyperlink"/>
    <w:basedOn w:val="a2"/>
    <w:uiPriority w:val="99"/>
    <w:unhideWhenUsed/>
    <w:rPr>
      <w:color w:val="0000FF" w:themeColor="hyperlink"/>
      <w:u w:val="single"/>
    </w:rPr>
  </w:style>
  <w:style w:type="paragraph" w:styleId="aff1">
    <w:name w:val="TOC Heading"/>
    <w:basedOn w:val="12"/>
    <w:next w:val="a1"/>
    <w:uiPriority w:val="39"/>
    <w:semiHidden/>
    <w:unhideWhenUsed/>
    <w:qFormat/>
    <w:pPr>
      <w:pageBreakBefore w:val="0"/>
      <w:spacing w:after="0"/>
      <w:outlineLvl w:val="9"/>
    </w:pPr>
    <w:rPr>
      <w:lang w:eastAsia="ru-RU"/>
    </w:rPr>
  </w:style>
  <w:style w:type="paragraph" w:styleId="24">
    <w:name w:val="toc 2"/>
    <w:basedOn w:val="a1"/>
    <w:next w:val="a1"/>
    <w:uiPriority w:val="39"/>
    <w:unhideWhenUsed/>
    <w:pPr>
      <w:spacing w:after="100"/>
      <w:ind w:left="280"/>
    </w:pPr>
  </w:style>
  <w:style w:type="paragraph" w:styleId="aff2">
    <w:name w:val="footnote text"/>
    <w:basedOn w:val="a1"/>
    <w:link w:val="af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2"/>
    <w:link w:val="aff2"/>
    <w:uiPriority w:val="99"/>
    <w:rPr>
      <w:rFonts w:eastAsiaTheme="minorEastAsia"/>
      <w:sz w:val="20"/>
      <w:szCs w:val="20"/>
    </w:rPr>
  </w:style>
  <w:style w:type="character" w:styleId="aff4">
    <w:name w:val="footnote reference"/>
    <w:basedOn w:val="a2"/>
    <w:uiPriority w:val="99"/>
    <w:unhideWhenUsed/>
    <w:rPr>
      <w:vertAlign w:val="superscript"/>
    </w:rPr>
  </w:style>
  <w:style w:type="paragraph" w:customStyle="1" w:styleId="1">
    <w:name w:val="1."/>
    <w:basedOn w:val="12"/>
    <w:link w:val="19"/>
    <w:qFormat/>
    <w:pPr>
      <w:keepLines w:val="0"/>
      <w:pageBreakBefore w:val="0"/>
      <w:numPr>
        <w:numId w:val="5"/>
      </w:numPr>
      <w:tabs>
        <w:tab w:val="left" w:pos="284"/>
      </w:tabs>
      <w:spacing w:before="0" w:after="0" w:line="240" w:lineRule="auto"/>
      <w:ind w:left="0" w:firstLine="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1.1."/>
    <w:basedOn w:val="a1"/>
    <w:link w:val="110"/>
    <w:pPr>
      <w:numPr>
        <w:ilvl w:val="1"/>
        <w:numId w:val="5"/>
      </w:numPr>
      <w:ind w:left="1129"/>
    </w:pPr>
  </w:style>
  <w:style w:type="character" w:customStyle="1" w:styleId="19">
    <w:name w:val="1. Знак"/>
    <w:basedOn w:val="13"/>
    <w:link w:val="1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</w:rPr>
  </w:style>
  <w:style w:type="paragraph" w:customStyle="1" w:styleId="210">
    <w:name w:val="2.1."/>
    <w:basedOn w:val="11"/>
    <w:link w:val="212"/>
    <w:qFormat/>
    <w:pPr>
      <w:tabs>
        <w:tab w:val="left" w:pos="1276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6"/>
    </w:rPr>
  </w:style>
  <w:style w:type="paragraph" w:customStyle="1" w:styleId="211">
    <w:name w:val="2.1.1."/>
    <w:basedOn w:val="a0"/>
    <w:link w:val="2110"/>
    <w:qFormat/>
    <w:pPr>
      <w:numPr>
        <w:ilvl w:val="2"/>
        <w:numId w:val="5"/>
      </w:numPr>
      <w:spacing w:after="0" w:line="240" w:lineRule="auto"/>
      <w:ind w:left="0" w:firstLine="709"/>
    </w:pPr>
    <w:rPr>
      <w:rFonts w:ascii="Times New Roman" w:hAnsi="Times New Roman" w:cs="Times New Roman"/>
      <w:sz w:val="26"/>
    </w:rPr>
  </w:style>
  <w:style w:type="character" w:customStyle="1" w:styleId="110">
    <w:name w:val="1.1. Знак"/>
    <w:basedOn w:val="a2"/>
    <w:link w:val="11"/>
    <w:rPr>
      <w:rFonts w:eastAsiaTheme="minorEastAsia"/>
      <w:sz w:val="28"/>
    </w:rPr>
  </w:style>
  <w:style w:type="character" w:customStyle="1" w:styleId="212">
    <w:name w:val="2.1. Знак"/>
    <w:basedOn w:val="110"/>
    <w:link w:val="210"/>
    <w:rPr>
      <w:rFonts w:ascii="Times New Roman" w:eastAsiaTheme="minorEastAsia" w:hAnsi="Times New Roman" w:cs="Times New Roman"/>
      <w:sz w:val="26"/>
    </w:rPr>
  </w:style>
  <w:style w:type="paragraph" w:customStyle="1" w:styleId="1111">
    <w:name w:val="1.1.1.1."/>
    <w:basedOn w:val="a0"/>
    <w:link w:val="11110"/>
    <w:qFormat/>
    <w:pPr>
      <w:numPr>
        <w:ilvl w:val="3"/>
        <w:numId w:val="5"/>
      </w:numPr>
      <w:tabs>
        <w:tab w:val="left" w:pos="1701"/>
      </w:tabs>
      <w:spacing w:after="0" w:line="240" w:lineRule="auto"/>
      <w:ind w:left="0" w:firstLine="709"/>
    </w:pPr>
    <w:rPr>
      <w:rFonts w:ascii="Times New Roman" w:hAnsi="Times New Roman" w:cs="Times New Roman"/>
      <w:sz w:val="26"/>
      <w:szCs w:val="28"/>
    </w:rPr>
  </w:style>
  <w:style w:type="character" w:customStyle="1" w:styleId="af0">
    <w:name w:val="Абзац списка Знак"/>
    <w:basedOn w:val="a2"/>
    <w:link w:val="a0"/>
    <w:uiPriority w:val="34"/>
    <w:rPr>
      <w:rFonts w:eastAsiaTheme="minorEastAsia"/>
      <w:sz w:val="28"/>
    </w:rPr>
  </w:style>
  <w:style w:type="character" w:customStyle="1" w:styleId="2110">
    <w:name w:val="2.1.1. Знак"/>
    <w:basedOn w:val="af0"/>
    <w:link w:val="211"/>
    <w:rPr>
      <w:rFonts w:ascii="Times New Roman" w:eastAsiaTheme="minorEastAsia" w:hAnsi="Times New Roman" w:cs="Times New Roman"/>
      <w:sz w:val="26"/>
    </w:rPr>
  </w:style>
  <w:style w:type="character" w:customStyle="1" w:styleId="11110">
    <w:name w:val="1.1.1.1. Знак"/>
    <w:basedOn w:val="af0"/>
    <w:link w:val="1111"/>
    <w:rPr>
      <w:rFonts w:ascii="Times New Roman" w:eastAsiaTheme="minorEastAsia" w:hAnsi="Times New Roman" w:cs="Times New Roman"/>
      <w:sz w:val="26"/>
      <w:szCs w:val="28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1)"/>
    <w:basedOn w:val="a1"/>
    <w:qFormat/>
    <w:pPr>
      <w:numPr>
        <w:numId w:val="9"/>
      </w:numPr>
      <w:tabs>
        <w:tab w:val="left" w:pos="993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endnote text"/>
    <w:basedOn w:val="a1"/>
    <w:link w:val="af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uiPriority w:val="99"/>
    <w:semiHidden/>
    <w:rPr>
      <w:rFonts w:eastAsiaTheme="minorEastAsia"/>
      <w:sz w:val="20"/>
      <w:szCs w:val="20"/>
    </w:rPr>
  </w:style>
  <w:style w:type="character" w:styleId="aff7">
    <w:name w:val="endnote reference"/>
    <w:basedOn w:val="a2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-cit.ca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b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18F6-510B-40BB-891B-8B98537E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Анна Александровна</dc:creator>
  <cp:lastModifiedBy>Горбунова Наталья</cp:lastModifiedBy>
  <cp:revision>2</cp:revision>
  <cp:lastPrinted>2023-06-21T11:05:00Z</cp:lastPrinted>
  <dcterms:created xsi:type="dcterms:W3CDTF">2023-06-21T11:08:00Z</dcterms:created>
  <dcterms:modified xsi:type="dcterms:W3CDTF">2023-06-21T11:08:00Z</dcterms:modified>
</cp:coreProperties>
</file>