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0" w:right="-1" w:firstLine="0"/>
        <w:jc w:val="right"/>
        <w:spacing w:after="0" w:line="235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Проект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864"/>
        <w:ind w:right="5512"/>
        <w:jc w:val="both"/>
        <w:spacing w:after="0" w:line="235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864"/>
        <w:ind w:right="5512"/>
        <w:jc w:val="both"/>
        <w:spacing w:after="0" w:line="235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864"/>
        <w:ind w:right="5512"/>
        <w:jc w:val="both"/>
        <w:spacing w:after="0" w:line="235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864"/>
        <w:ind w:right="5512"/>
        <w:jc w:val="both"/>
        <w:spacing w:after="0" w:line="235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864"/>
        <w:ind w:right="5512"/>
        <w:jc w:val="both"/>
        <w:spacing w:after="0" w:line="235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864"/>
        <w:ind w:right="5512"/>
        <w:jc w:val="both"/>
        <w:spacing w:after="0" w:line="235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О внесении изменений в п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становление Кабинета Мин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стров Чувашской Респу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блики от 30 сентября 2021 г.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№ 491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Кабинет Министров Чувашской Республики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т: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 Внести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Положени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о региональном государственном контроле (надз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ре) в области охраны и использования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особо охраняемых природных террит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утвержденное постановлением Кабинета Министров Чувашской Республ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 3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 сентября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2021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г.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491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(с изменени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ями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внесенным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постановлени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я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ми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 Кабинета Министров Чувашской Республики от 12 июля       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2023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г.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 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59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от 24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января 2024 г. № 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от 26 июня 2024 г. № 348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),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следующ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изменени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I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подпункт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1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пункт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слово «бюджетными» исключить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подпункт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3 пункт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4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слова «и контрольных (надзорных) мероприятий» заменить словами «, контрольных (надзорных) мероприятий и постоянного ре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да»;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подпункте 3 пункта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слов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 «и контрольных (надзорных) мероприятий» заменить словами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контрольных (надзорных) мероприятий 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постоянного ре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»;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пункте 14 раздела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дополнить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новыми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абзацами вторым – четвертым следующего содерж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ния: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«поступление информации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об аварийных ситуациях на особо охраняемых природных территориях регионального значения, повлекших причинени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вреда жизни или здоровью людей, животны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или объектам окружающей среды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либо созд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авших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угрозу причинения такого вреда;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поступление информации о наличии в границах особо охраняемой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родной территории регионального значения механизированных транспортных средств, инструмент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и оборудования, использование которых противореч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 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лям создания особо охраняемой природной территории;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поступление информации о загрязнении особо охраняемых природных территорий регионального значения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»;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абзацы второй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третий считать соответственно абзацами пятым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шестым;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абзац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четвертый считать абзацем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седьм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ым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его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после слов «контрольных (надзорных) мероприятий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» дополнить словами «и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постоянного рейда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»;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eastAsia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в разделе IV: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пункты 22 и 23 изложить в следующей редакции: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«22.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Профилактический визит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проводится в соответствии со статьей        52 Федерального закона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по инициативе контрольного (надзорного) органа (обязательный профилактический визит) в порядке, предусмотренном статьей 52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 Федеральн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ого закона, или по инициативе контролируемого лица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, в порядке, предусмотренном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 статьей 52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2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Федерального закона.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23.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Срок п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роведения обязательного профилактического визита не может превышать 10 рабочих дней.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По ходатайству должностного лица, уполномоченного на осуществление регионального государственного контроля, проводящего обязательный профилактический виз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ит, министр (заместитель министра), руководитель (заместитель руководителя) Учреждения могут продлить срок проведени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я обязательного профилактического визита на срок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, необходимый для проведения экспертизы, испытаний.»;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дополнить новыми пунктами 24, 24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:lang w:eastAsia="ru-RU"/>
        </w:rPr>
        <w:t xml:space="preserve">,24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2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:lang w:eastAsia="ru-RU"/>
        </w:rPr>
        <w:t xml:space="preserve"> и 24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3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следующего содержания: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«24.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обязательного профи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лактического визита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24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:lang w:eastAsia="ru-RU"/>
        </w:rPr>
        <w:t xml:space="preserve">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ческой организацией либо государственным или муници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пальным учреждением.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:lang w:eastAsia="ru-RU"/>
        </w:rPr>
        <w:t xml:space="preserve">24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2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. Заявление о проведении профилактического визита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Министерство (Учреждение) рассматривает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В случае принятия решения о проведении профилактического визита 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Министерство (Учреждение)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Решение об отказе в проведении профилактического визита принимается в следующих случаях: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1) от контролируемого лица поступило уведомление об отзыве заявления;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709" w:leader="none"/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 лица, повлекшими невозможность проведения профилактического визита;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3) в течение года до даты подачи заявления Министерством (Учреждением) проведен профилактический визит по ранее поданному заявлению;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4) заявление содержит нецензурные либо оскорбительные выражения, угрозы жизни, здоровью и имуществу должностных лиц Министерства (Учреждения) либо членов их семей.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Решение об отказе в про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ведении профилактического визита может быть обжаловано контролируемым лицом в порядке, установленном Федеральным законом.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:lang w:eastAsia="ru-RU"/>
        </w:rPr>
        <w:t xml:space="preserve">24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3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. Контролируемое лицо вправе отозвать заявление либо направить отказ от проведения профилактического визита, уведомив об этом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Министерство (Учреждение)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 не позднее чем за пять рабочих дней до даты его проведения.»;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пункт 24 считать пунктом 24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4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:lang w:eastAsia="ru-RU"/>
        </w:rPr>
        <w:t xml:space="preserve">;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:lang w:eastAsia="ru-RU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14:ligatures w14:val="none"/>
        </w:rPr>
      </w:r>
    </w:p>
    <w:p>
      <w:pPr>
        <w:ind w:firstLine="709"/>
        <w:jc w:val="both"/>
        <w:spacing w:after="0" w:line="235" w:lineRule="auto"/>
        <w:tabs>
          <w:tab w:val="left" w:pos="1276" w:leader="none"/>
        </w:tabs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:lang w:eastAsia="ru-RU"/>
        </w:rPr>
        <w:t xml:space="preserve">пункт 24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:lang w:eastAsia="ru-RU"/>
        </w:rPr>
        <w:t xml:space="preserve">считать утратившим силу;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14:ligatures w14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baseline"/>
          <w14:ligatures w14:val="none"/>
        </w:rPr>
      </w:r>
    </w:p>
    <w:p>
      <w:pPr>
        <w:pStyle w:val="864"/>
        <w:ind w:firstLine="709"/>
        <w:jc w:val="both"/>
        <w:spacing w:after="0" w:line="235" w:lineRule="auto"/>
        <w:rPr>
          <w:rFonts w:ascii="Times New Roman" w:hAnsi="Times New Roman" w:eastAsia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дополнить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раздел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ом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 V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  <w:lang w:eastAsia="ru-RU"/>
        </w:rPr>
        <w:t xml:space="preserve">следующего содержания:</w:t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 w:eastAsia="Times New Roman"/>
          <w:color w:val="auto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auto"/>
          <w:sz w:val="26"/>
          <w:szCs w:val="26"/>
          <w:highlight w:val="none"/>
        </w:rPr>
      </w:pPr>
      <w:r>
        <w:rPr>
          <w:rFonts w:ascii="Times New Roman" w:hAnsi="Times New Roman" w:eastAsia="Times New Roman"/>
          <w:b/>
          <w:color w:val="auto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auto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auto"/>
          <w:sz w:val="26"/>
          <w:szCs w:val="26"/>
          <w:highlight w:val="none"/>
        </w:rPr>
      </w:r>
    </w:p>
    <w:p>
      <w:pPr>
        <w:pStyle w:val="864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auto"/>
          <w:sz w:val="26"/>
          <w:szCs w:val="26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/>
          <w:b/>
          <w:color w:val="auto"/>
          <w:sz w:val="26"/>
          <w:szCs w:val="26"/>
          <w:highlight w:val="none"/>
          <w:lang w:val="en-US" w:eastAsia="ru-RU"/>
        </w:rPr>
        <w:t xml:space="preserve">V</w:t>
      </w:r>
      <w:r>
        <w:rPr>
          <w:rFonts w:ascii="Times New Roman" w:hAnsi="Times New Roman" w:eastAsia="Times New Roman"/>
          <w:b/>
          <w:color w:val="auto"/>
          <w:sz w:val="26"/>
          <w:szCs w:val="26"/>
          <w:highlight w:val="none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b/>
          <w:color w:val="auto"/>
          <w:sz w:val="26"/>
          <w:szCs w:val="26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b/>
          <w:color w:val="auto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Осуществление постоянного рейда </w:t>
      </w:r>
      <w:r>
        <w:rPr>
          <w:rFonts w:ascii="Times New Roman" w:hAnsi="Times New Roman" w:eastAsia="Times New Roman"/>
          <w:b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none"/>
          <w:lang w:eastAsia="ru-RU"/>
        </w:rPr>
      </w:r>
    </w:p>
    <w:p>
      <w:pPr>
        <w:pStyle w:val="876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5.1.</w:t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Постоянный рейд является специальным режимом </w:t>
      </w:r>
      <w:r>
        <w:rPr>
          <w:sz w:val="26"/>
          <w:szCs w:val="26"/>
        </w:rPr>
        <w:t xml:space="preserve">регионального государственного контроля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заключается в возможности </w:t>
      </w:r>
      <w:r>
        <w:rPr>
          <w:sz w:val="26"/>
          <w:szCs w:val="26"/>
        </w:rPr>
        <w:t xml:space="preserve">постоянного нахожд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инспекторов в пунктах контроля и (или) перемещения инспекторов по опр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деленной территории (акватории) в целях предупреждения, выявления и прес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чения наруш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ний обязательных требований.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Территориями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(акваториями) осуществления постоянного рейда 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ляю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ся земельные участки и (или) водные объекты, расположенные в границах особо охраняемых природных территорий регионального значения и их охра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ных зон, в соответствии с решениями должностных лиц,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уполномоченны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на осуществление регионального государственного контроля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(далее –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территория постоянного рейда).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5.1.3.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Пункты контроля при осуществлении постоянного рейда не уст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навливаются.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В решении должностных лиц,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уполномоченных на осуществление регионального государственного контроля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указываются перечень территорий 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стоянного рейда, а также должностные лица, уполномоченные на проведение постоянного рейда (из числа должностных лиц,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уполномоченных на осущест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ление 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гионального государственного контроля)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 территориях постоянного рейда.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1.5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Постоянный рейд осуществляется в отношении транспортных средств, деятельности и действий контролируемых лиц на территории постоя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ного рейда.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5.1.6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При осуществлении постоянного рейда могут совершаться следу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щие контрольные (надзорные) действия: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осмотр;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досмотр;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опрос;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истребование документов, которые в соответствии с обязательными тр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бованиями должны находиться в транспортном средстве или у контролируемого лица на территории постоянного рейда;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инструментальное обследование.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5.1.7.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При осуществлении постоянного рейда время взаимодействия дол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ж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ностных лиц,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уполномоченных на осуществление регионального государстве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ного контроля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с одним контролируемым лицом не может составлять более 30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минут (в данный период времени не включается оформление акта контрол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ного (надзорн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го) мероприятия).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5.1.8.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случае если в результате постоянного рейда были выявлены 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рушения обязательных требований, должностные лица,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уполномоченные на ос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ществление регионального государственного контроля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на месте составляют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дельный акт контрольного (надзорного) мероприятия в отношении каждого ко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тролируем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 лица, допустившего нарушение обязательных требований.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5.1.9.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Контролируемые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лица, их представители и работники, находящиеся на территории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(акватории)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постоянного рейда, обязаны по требованию должн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стных лиц,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уполномоченны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на осуществление регионального государственного контр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остановиться, обеспечить беспрепятственный доступ к транспортным средс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вам, представить для ознакомления документы, которые в соответствии с обяз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тельными требованиями должны находиться в транспортном средстве или у ко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тролируемого лица.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»;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в абзаце первом и втором пункта 37 раздела VI слова «не более 20 рабочих дней» заменить словами «не более 15 рабочих дней». </w:t>
      </w:r>
      <w:r>
        <w:rPr>
          <w:rFonts w:ascii="Times New Roman" w:hAnsi="Times New Roman" w:eastAsia="Times New Roman"/>
          <w:sz w:val="26"/>
          <w:szCs w:val="26"/>
          <w:highlight w:val="none"/>
        </w:rPr>
      </w:r>
      <w:r>
        <w:rPr>
          <w:rFonts w:ascii="Times New Roman" w:hAnsi="Times New Roman" w:eastAsia="Times New Roman"/>
          <w:sz w:val="26"/>
          <w:szCs w:val="26"/>
          <w:highlight w:val="none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 Настоящее постановление вступает в силу через десять дней после дня его официального опубликования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64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64"/>
        <w:ind w:firstLine="709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5 - 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FILENAME 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 xml:space="preserve">izm 491</w:t>
    </w:r>
    <w:r>
      <w:rPr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- Минприроды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65">
    <w:name w:val="Основной шрифт абзаца"/>
    <w:next w:val="865"/>
    <w:link w:val="864"/>
    <w:uiPriority w:val="1"/>
    <w:semiHidden/>
    <w:unhideWhenUsed/>
  </w:style>
  <w:style w:type="table" w:styleId="866">
    <w:name w:val="Обычная таблица"/>
    <w:next w:val="866"/>
    <w:link w:val="864"/>
    <w:uiPriority w:val="99"/>
    <w:semiHidden/>
    <w:unhideWhenUsed/>
    <w:tblPr/>
  </w:style>
  <w:style w:type="numbering" w:styleId="867">
    <w:name w:val="Нет списка"/>
    <w:next w:val="867"/>
    <w:link w:val="864"/>
    <w:uiPriority w:val="99"/>
    <w:semiHidden/>
    <w:unhideWhenUsed/>
  </w:style>
  <w:style w:type="table" w:styleId="868">
    <w:name w:val="Сетка таблицы"/>
    <w:basedOn w:val="866"/>
    <w:next w:val="868"/>
    <w:link w:val="864"/>
    <w:uiPriority w:val="59"/>
    <w:pPr>
      <w:spacing w:after="0" w:line="240" w:lineRule="auto"/>
    </w:pPr>
    <w:tblPr/>
  </w:style>
  <w:style w:type="paragraph" w:styleId="869">
    <w:name w:val="Абзац списка"/>
    <w:basedOn w:val="864"/>
    <w:next w:val="869"/>
    <w:link w:val="864"/>
    <w:uiPriority w:val="34"/>
    <w:qFormat/>
    <w:pPr>
      <w:contextualSpacing/>
      <w:ind w:left="720"/>
    </w:pPr>
  </w:style>
  <w:style w:type="paragraph" w:styleId="870">
    <w:name w:val="Верхний колонтитул"/>
    <w:basedOn w:val="864"/>
    <w:next w:val="870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>
    <w:name w:val=" Знак Знак2"/>
    <w:basedOn w:val="865"/>
    <w:next w:val="871"/>
    <w:link w:val="870"/>
    <w:uiPriority w:val="99"/>
  </w:style>
  <w:style w:type="paragraph" w:styleId="872">
    <w:name w:val="Нижний колонтитул"/>
    <w:basedOn w:val="864"/>
    <w:next w:val="872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>
    <w:name w:val=" Знак Знак1"/>
    <w:basedOn w:val="865"/>
    <w:next w:val="873"/>
    <w:link w:val="872"/>
    <w:uiPriority w:val="99"/>
  </w:style>
  <w:style w:type="paragraph" w:styleId="874">
    <w:name w:val="Текст выноски"/>
    <w:basedOn w:val="864"/>
    <w:next w:val="874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>
    <w:name w:val=" Знак Знак"/>
    <w:next w:val="875"/>
    <w:link w:val="874"/>
    <w:uiPriority w:val="99"/>
    <w:semiHidden/>
    <w:rPr>
      <w:rFonts w:ascii="Tahoma" w:hAnsi="Tahoma" w:cs="Tahoma"/>
      <w:sz w:val="16"/>
      <w:szCs w:val="16"/>
    </w:rPr>
  </w:style>
  <w:style w:type="paragraph" w:styleId="876">
    <w:name w:val="Обычный (веб)"/>
    <w:basedOn w:val="864"/>
    <w:next w:val="876"/>
    <w:link w:val="86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Тимофеев АН</dc:creator>
  <cp:revision>22</cp:revision>
  <dcterms:created xsi:type="dcterms:W3CDTF">2024-12-10T08:21:00Z</dcterms:created>
  <dcterms:modified xsi:type="dcterms:W3CDTF">2025-01-29T06:49:32Z</dcterms:modified>
  <cp:version>730895</cp:version>
</cp:coreProperties>
</file>