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0267CF" w:rsidP="000267CF">
            <w:pPr>
              <w:jc w:val="center"/>
            </w:pPr>
            <w:r>
              <w:t>12</w:t>
            </w:r>
            <w:r w:rsidR="00B4115B">
              <w:t>.</w:t>
            </w:r>
            <w:r w:rsidR="00C941BE">
              <w:t>0</w:t>
            </w:r>
            <w:r w:rsidR="0038513C">
              <w:t>5</w:t>
            </w:r>
            <w:r w:rsidR="00B4115B">
              <w:t>.</w:t>
            </w:r>
            <w:r w:rsidR="00B4115B" w:rsidRPr="00476A31">
              <w:t>20</w:t>
            </w:r>
            <w:r w:rsidR="00C941BE">
              <w:t>23</w:t>
            </w:r>
            <w:r w:rsidR="004809AF">
              <w:t xml:space="preserve">  </w:t>
            </w:r>
            <w:r>
              <w:t>422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0267CF" w:rsidP="000267CF">
            <w:pPr>
              <w:jc w:val="center"/>
            </w:pPr>
            <w:r>
              <w:t>12</w:t>
            </w:r>
            <w:r w:rsidR="00B4115B">
              <w:t>.</w:t>
            </w:r>
            <w:r w:rsidR="00C941BE">
              <w:t>0</w:t>
            </w:r>
            <w:r w:rsidR="0038513C">
              <w:t>5</w:t>
            </w:r>
            <w:r w:rsidR="00B4115B">
              <w:t>.</w:t>
            </w:r>
            <w:r w:rsidR="00B4115B" w:rsidRPr="00476A31">
              <w:t>202</w:t>
            </w:r>
            <w:r w:rsidR="00C941BE">
              <w:t>3</w:t>
            </w:r>
            <w:r w:rsidR="00B4115B" w:rsidRPr="00476A31">
              <w:t xml:space="preserve">  № </w:t>
            </w:r>
            <w:r>
              <w:t>422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41BE" w:rsidTr="00C941BE">
        <w:tc>
          <w:tcPr>
            <w:tcW w:w="4785" w:type="dxa"/>
          </w:tcPr>
          <w:p w:rsidR="00C941BE" w:rsidRDefault="00C941BE" w:rsidP="00C941BE">
            <w:pPr>
              <w:jc w:val="both"/>
              <w:rPr>
                <w:sz w:val="26"/>
                <w:szCs w:val="26"/>
              </w:rPr>
            </w:pPr>
            <w:r w:rsidRPr="00C941BE">
              <w:rPr>
                <w:sz w:val="26"/>
                <w:szCs w:val="26"/>
              </w:rPr>
              <w:t>Об уста</w:t>
            </w:r>
            <w:r>
              <w:rPr>
                <w:sz w:val="26"/>
                <w:szCs w:val="26"/>
              </w:rPr>
              <w:t>новлении тарифов на услуги бани в г. Козловка Козловского муниципального округа</w:t>
            </w:r>
            <w:r w:rsidRPr="00C941BE">
              <w:rPr>
                <w:sz w:val="26"/>
                <w:szCs w:val="26"/>
              </w:rPr>
              <w:t xml:space="preserve"> Чувашской Республики </w:t>
            </w:r>
          </w:p>
        </w:tc>
        <w:tc>
          <w:tcPr>
            <w:tcW w:w="4786" w:type="dxa"/>
          </w:tcPr>
          <w:p w:rsidR="00C941BE" w:rsidRDefault="00C941BE" w:rsidP="00B4115B">
            <w:pPr>
              <w:jc w:val="both"/>
              <w:rPr>
                <w:sz w:val="26"/>
                <w:szCs w:val="26"/>
              </w:rPr>
            </w:pPr>
          </w:p>
        </w:tc>
      </w:tr>
    </w:tbl>
    <w:p w:rsidR="00C941BE" w:rsidRDefault="00C941BE" w:rsidP="00B4115B">
      <w:pPr>
        <w:ind w:firstLine="708"/>
        <w:jc w:val="both"/>
        <w:rPr>
          <w:sz w:val="26"/>
          <w:szCs w:val="26"/>
        </w:rPr>
      </w:pPr>
    </w:p>
    <w:p w:rsidR="00C941BE" w:rsidRPr="00C941BE" w:rsidRDefault="00C941BE" w:rsidP="00CB4FB0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C941BE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2A2F82">
        <w:rPr>
          <w:sz w:val="26"/>
          <w:szCs w:val="26"/>
        </w:rPr>
        <w:t>п</w:t>
      </w:r>
      <w:r w:rsidR="00434EB8">
        <w:rPr>
          <w:sz w:val="26"/>
          <w:szCs w:val="26"/>
        </w:rPr>
        <w:t>остановлением администрации Козловского муниципального округа Чувашкой Республики от 30.12.202</w:t>
      </w:r>
      <w:r w:rsidR="002A2F82">
        <w:rPr>
          <w:sz w:val="26"/>
          <w:szCs w:val="26"/>
        </w:rPr>
        <w:t>2</w:t>
      </w:r>
      <w:r w:rsidR="00434EB8">
        <w:rPr>
          <w:sz w:val="26"/>
          <w:szCs w:val="26"/>
        </w:rPr>
        <w:t xml:space="preserve"> №30 «</w:t>
      </w:r>
      <w:r w:rsidR="00434EB8" w:rsidRPr="00434EB8">
        <w:rPr>
          <w:sz w:val="26"/>
          <w:szCs w:val="26"/>
        </w:rPr>
        <w:t>Об утверждении Порядка предоставления субсидии, направляемой на возм</w:t>
      </w:r>
      <w:r w:rsidR="007D0A4C">
        <w:rPr>
          <w:sz w:val="26"/>
          <w:szCs w:val="26"/>
        </w:rPr>
        <w:t>ещение затрат (компенсация выпа</w:t>
      </w:r>
      <w:r w:rsidR="00434EB8" w:rsidRPr="00434EB8">
        <w:rPr>
          <w:sz w:val="26"/>
          <w:szCs w:val="26"/>
        </w:rPr>
        <w:t>дающих доходов) юридическим лицам (за исключением государственных (муниципальных) учреждений), индивидуальным предпринимателям, предоставляющим населению Козловского муниципального округа Чувашской Республики услуги бани по тарифам, не обеспечивающим возмещение издержек</w:t>
      </w:r>
      <w:r w:rsidR="00434EB8">
        <w:rPr>
          <w:sz w:val="26"/>
          <w:szCs w:val="26"/>
        </w:rPr>
        <w:t>»</w:t>
      </w:r>
      <w:r w:rsidRPr="00C941BE">
        <w:rPr>
          <w:sz w:val="26"/>
          <w:szCs w:val="26"/>
        </w:rPr>
        <w:t xml:space="preserve">, </w:t>
      </w:r>
      <w:r>
        <w:rPr>
          <w:sz w:val="26"/>
          <w:szCs w:val="26"/>
        </w:rPr>
        <w:t>а</w:t>
      </w:r>
      <w:r w:rsidRPr="00C941BE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Козловского </w:t>
      </w:r>
      <w:r w:rsidR="00D5231E">
        <w:rPr>
          <w:sz w:val="26"/>
          <w:szCs w:val="26"/>
        </w:rPr>
        <w:t>муниципального</w:t>
      </w:r>
      <w:r w:rsidR="00305F9B">
        <w:rPr>
          <w:sz w:val="26"/>
          <w:szCs w:val="26"/>
        </w:rPr>
        <w:t xml:space="preserve"> округа </w:t>
      </w:r>
      <w:r w:rsidRPr="00C941BE">
        <w:rPr>
          <w:sz w:val="26"/>
          <w:szCs w:val="26"/>
        </w:rPr>
        <w:t xml:space="preserve"> Чувашской Республики постановляет:</w:t>
      </w:r>
    </w:p>
    <w:p w:rsidR="00C941BE" w:rsidRPr="00C941BE" w:rsidRDefault="00C941BE" w:rsidP="00CB4FB0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C941BE">
        <w:rPr>
          <w:sz w:val="26"/>
          <w:szCs w:val="26"/>
        </w:rPr>
        <w:t>1.Установить тарифы на услуги бан</w:t>
      </w:r>
      <w:r w:rsidR="00D5231E">
        <w:rPr>
          <w:sz w:val="26"/>
          <w:szCs w:val="26"/>
        </w:rPr>
        <w:t>и</w:t>
      </w:r>
      <w:r w:rsidR="00D4193B">
        <w:rPr>
          <w:sz w:val="26"/>
          <w:szCs w:val="26"/>
        </w:rPr>
        <w:t>в г. Козловка Козловского муниципального округа</w:t>
      </w:r>
      <w:r w:rsidR="00D4193B" w:rsidRPr="00C941BE">
        <w:rPr>
          <w:sz w:val="26"/>
          <w:szCs w:val="26"/>
        </w:rPr>
        <w:t xml:space="preserve"> Чувашской Республики</w:t>
      </w:r>
      <w:r w:rsidR="0038513C">
        <w:rPr>
          <w:sz w:val="26"/>
          <w:szCs w:val="26"/>
        </w:rPr>
        <w:t>, оказываемых</w:t>
      </w:r>
      <w:r w:rsidR="00B52D54">
        <w:rPr>
          <w:sz w:val="26"/>
          <w:szCs w:val="26"/>
        </w:rPr>
        <w:t>ИП Самсонов</w:t>
      </w:r>
      <w:r w:rsidR="0038513C">
        <w:rPr>
          <w:sz w:val="26"/>
          <w:szCs w:val="26"/>
        </w:rPr>
        <w:t>ым</w:t>
      </w:r>
      <w:r w:rsidR="00B52D54">
        <w:rPr>
          <w:sz w:val="26"/>
          <w:szCs w:val="26"/>
        </w:rPr>
        <w:t xml:space="preserve"> Антон</w:t>
      </w:r>
      <w:r w:rsidR="0038513C">
        <w:rPr>
          <w:sz w:val="26"/>
          <w:szCs w:val="26"/>
        </w:rPr>
        <w:t>ом Михайловичем</w:t>
      </w:r>
      <w:r w:rsidR="004114AE">
        <w:rPr>
          <w:sz w:val="26"/>
          <w:szCs w:val="26"/>
        </w:rPr>
        <w:t>,</w:t>
      </w:r>
      <w:r w:rsidRPr="00C941BE">
        <w:rPr>
          <w:sz w:val="26"/>
          <w:szCs w:val="26"/>
        </w:rPr>
        <w:t>в размерах согласно приложению.</w:t>
      </w:r>
    </w:p>
    <w:p w:rsidR="00C941BE" w:rsidRPr="00C941BE" w:rsidRDefault="00C941BE" w:rsidP="00CB4FB0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C941BE">
        <w:rPr>
          <w:sz w:val="26"/>
          <w:szCs w:val="26"/>
        </w:rPr>
        <w:t xml:space="preserve">2.Поручить </w:t>
      </w:r>
      <w:r w:rsidR="00B52D54">
        <w:rPr>
          <w:sz w:val="26"/>
          <w:szCs w:val="26"/>
        </w:rPr>
        <w:t xml:space="preserve">финансовому </w:t>
      </w:r>
      <w:r w:rsidR="00D5231E">
        <w:rPr>
          <w:sz w:val="26"/>
          <w:szCs w:val="26"/>
        </w:rPr>
        <w:t xml:space="preserve">отделу </w:t>
      </w:r>
      <w:r w:rsidR="00B52D54">
        <w:rPr>
          <w:sz w:val="26"/>
          <w:szCs w:val="26"/>
        </w:rPr>
        <w:t>администрации Козловского муниципального округа</w:t>
      </w:r>
      <w:r w:rsidR="00B52D54" w:rsidRPr="00C941BE">
        <w:rPr>
          <w:sz w:val="26"/>
          <w:szCs w:val="26"/>
        </w:rPr>
        <w:t xml:space="preserve"> Чувашской Республики </w:t>
      </w:r>
      <w:r w:rsidRPr="00C941BE">
        <w:rPr>
          <w:sz w:val="26"/>
          <w:szCs w:val="26"/>
        </w:rPr>
        <w:t xml:space="preserve">рассмотреть вопрос о предоставлении </w:t>
      </w:r>
      <w:r w:rsidR="00D5231E">
        <w:rPr>
          <w:sz w:val="26"/>
          <w:szCs w:val="26"/>
        </w:rPr>
        <w:t>индивидуальному предпринимате</w:t>
      </w:r>
      <w:r w:rsidR="00B52D54">
        <w:rPr>
          <w:sz w:val="26"/>
          <w:szCs w:val="26"/>
        </w:rPr>
        <w:t>лю Самсонову Антону Михайловичу</w:t>
      </w:r>
      <w:r w:rsidRPr="00C941BE">
        <w:rPr>
          <w:sz w:val="26"/>
          <w:szCs w:val="26"/>
        </w:rPr>
        <w:t xml:space="preserve"> субсидии на частичное возмещение недополученных доходов, возникающих вследствие предоставления населению бытовых услуг по цене ниже их экономически обоснованной стоимости, за счет и в пределах средств, предусмотренных в бюджете </w:t>
      </w:r>
      <w:r w:rsidR="00D5231E">
        <w:rPr>
          <w:sz w:val="26"/>
          <w:szCs w:val="26"/>
        </w:rPr>
        <w:t>Козловского муниципального округа Чувашской Республики</w:t>
      </w:r>
      <w:r w:rsidRPr="00C941BE">
        <w:rPr>
          <w:sz w:val="26"/>
          <w:szCs w:val="26"/>
        </w:rPr>
        <w:t xml:space="preserve"> на 20</w:t>
      </w:r>
      <w:r w:rsidR="00D5231E">
        <w:rPr>
          <w:sz w:val="26"/>
          <w:szCs w:val="26"/>
        </w:rPr>
        <w:t>23</w:t>
      </w:r>
      <w:r w:rsidRPr="00C941BE">
        <w:rPr>
          <w:sz w:val="26"/>
          <w:szCs w:val="26"/>
        </w:rPr>
        <w:t xml:space="preserve"> год на данные цели.</w:t>
      </w:r>
    </w:p>
    <w:p w:rsidR="00CB4FB0" w:rsidRDefault="00CB4FB0" w:rsidP="00CB4FB0">
      <w:pPr>
        <w:suppressAutoHyphens/>
        <w:ind w:firstLine="540"/>
        <w:jc w:val="both"/>
        <w:rPr>
          <w:bCs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3</w:t>
      </w:r>
      <w:r w:rsidRPr="000C2F07">
        <w:rPr>
          <w:color w:val="000000"/>
          <w:sz w:val="26"/>
          <w:szCs w:val="26"/>
          <w:lang w:eastAsia="ar-SA"/>
        </w:rPr>
        <w:t xml:space="preserve">. </w:t>
      </w:r>
      <w:r w:rsidRPr="000C2F07">
        <w:rPr>
          <w:bCs/>
          <w:sz w:val="26"/>
          <w:szCs w:val="26"/>
          <w:lang w:eastAsia="ar-SA"/>
        </w:rPr>
        <w:t xml:space="preserve">Настоящее постановление </w:t>
      </w:r>
      <w:r>
        <w:rPr>
          <w:bCs/>
          <w:sz w:val="26"/>
          <w:szCs w:val="26"/>
          <w:lang w:eastAsia="ar-SA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B4FB0" w:rsidRDefault="00CB4FB0" w:rsidP="00CB4FB0">
      <w:pPr>
        <w:suppressAutoHyphens/>
        <w:ind w:firstLine="540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4. Настоящее постановление вступает в силу после его официального опубликования.</w:t>
      </w:r>
    </w:p>
    <w:p w:rsidR="00D5231E" w:rsidRDefault="00D5231E" w:rsidP="00C941BE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4114AE" w:rsidRPr="00442159" w:rsidRDefault="004114AE" w:rsidP="00C941BE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p w:rsidR="00B4115B" w:rsidRPr="00CA1FEE" w:rsidRDefault="00B4115B" w:rsidP="00B4115B">
      <w:pPr>
        <w:jc w:val="right"/>
      </w:pPr>
    </w:p>
    <w:p w:rsidR="004650F7" w:rsidRDefault="004650F7" w:rsidP="00B4115B">
      <w:pPr>
        <w:jc w:val="right"/>
      </w:pPr>
    </w:p>
    <w:p w:rsidR="00D4193B" w:rsidRDefault="00D4193B" w:rsidP="00B4115B">
      <w:pPr>
        <w:jc w:val="right"/>
      </w:pPr>
    </w:p>
    <w:p w:rsidR="00D4193B" w:rsidRPr="00153B56" w:rsidRDefault="00D4193B" w:rsidP="00B4115B">
      <w:pPr>
        <w:jc w:val="right"/>
        <w:rPr>
          <w:sz w:val="26"/>
          <w:szCs w:val="26"/>
        </w:rPr>
      </w:pPr>
      <w:r w:rsidRPr="00153B56">
        <w:rPr>
          <w:sz w:val="26"/>
          <w:szCs w:val="26"/>
        </w:rPr>
        <w:t>Приложение</w:t>
      </w:r>
    </w:p>
    <w:p w:rsidR="00D4193B" w:rsidRPr="00153B56" w:rsidRDefault="00D4193B" w:rsidP="00B4115B">
      <w:pPr>
        <w:jc w:val="right"/>
        <w:rPr>
          <w:sz w:val="26"/>
          <w:szCs w:val="26"/>
        </w:rPr>
      </w:pPr>
      <w:r w:rsidRPr="00153B56">
        <w:rPr>
          <w:sz w:val="26"/>
          <w:szCs w:val="26"/>
        </w:rPr>
        <w:t xml:space="preserve">к постановлению от </w:t>
      </w:r>
      <w:r w:rsidR="00E05D3C">
        <w:rPr>
          <w:sz w:val="26"/>
          <w:szCs w:val="26"/>
        </w:rPr>
        <w:t>12</w:t>
      </w:r>
      <w:r w:rsidRPr="00153B56">
        <w:rPr>
          <w:sz w:val="26"/>
          <w:szCs w:val="26"/>
        </w:rPr>
        <w:t>.0</w:t>
      </w:r>
      <w:r w:rsidR="00153B56">
        <w:rPr>
          <w:sz w:val="26"/>
          <w:szCs w:val="26"/>
        </w:rPr>
        <w:t>5</w:t>
      </w:r>
      <w:r w:rsidRPr="00153B56">
        <w:rPr>
          <w:sz w:val="26"/>
          <w:szCs w:val="26"/>
        </w:rPr>
        <w:t>.2023 №</w:t>
      </w:r>
      <w:r w:rsidR="00E05D3C">
        <w:rPr>
          <w:sz w:val="26"/>
          <w:szCs w:val="26"/>
        </w:rPr>
        <w:t>422</w:t>
      </w:r>
      <w:bookmarkStart w:id="0" w:name="_GoBack"/>
      <w:bookmarkEnd w:id="0"/>
    </w:p>
    <w:p w:rsidR="00D4193B" w:rsidRPr="00153B56" w:rsidRDefault="00D4193B" w:rsidP="00B4115B">
      <w:pPr>
        <w:jc w:val="right"/>
        <w:rPr>
          <w:sz w:val="26"/>
          <w:szCs w:val="26"/>
        </w:rPr>
      </w:pPr>
      <w:r w:rsidRPr="00153B56">
        <w:rPr>
          <w:sz w:val="26"/>
          <w:szCs w:val="26"/>
        </w:rPr>
        <w:t>администрации Козловского муниципального</w:t>
      </w:r>
    </w:p>
    <w:p w:rsidR="00D4193B" w:rsidRPr="00153B56" w:rsidRDefault="00D4193B" w:rsidP="00B4115B">
      <w:pPr>
        <w:jc w:val="right"/>
        <w:rPr>
          <w:sz w:val="26"/>
          <w:szCs w:val="26"/>
        </w:rPr>
      </w:pPr>
      <w:r w:rsidRPr="00153B56">
        <w:rPr>
          <w:sz w:val="26"/>
          <w:szCs w:val="26"/>
        </w:rPr>
        <w:t>округа Чувашской Республики</w:t>
      </w:r>
    </w:p>
    <w:p w:rsidR="00D4193B" w:rsidRPr="00153B56" w:rsidRDefault="00D4193B" w:rsidP="00B4115B">
      <w:pPr>
        <w:jc w:val="right"/>
        <w:rPr>
          <w:sz w:val="26"/>
          <w:szCs w:val="26"/>
        </w:rPr>
      </w:pPr>
    </w:p>
    <w:tbl>
      <w:tblPr>
        <w:tblW w:w="8945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1276"/>
        <w:gridCol w:w="1061"/>
        <w:gridCol w:w="1140"/>
        <w:gridCol w:w="1357"/>
      </w:tblGrid>
      <w:tr w:rsidR="00D4193B" w:rsidRPr="00153B56" w:rsidTr="00153B56">
        <w:trPr>
          <w:trHeight w:val="315"/>
        </w:trPr>
        <w:tc>
          <w:tcPr>
            <w:tcW w:w="8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</w:p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</w:p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Расчет тарифа на одну помывку в бане в г. Козловка</w:t>
            </w:r>
          </w:p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 xml:space="preserve"> Козловского муниципального округа Чувашской Республики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Ед.изм.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Цена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Кол-во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стоимость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ХВС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м.куб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18,63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0,12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2,24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м.куб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188,88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0,09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17,00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Гкал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2110,25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0,02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42,19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Электроэнергия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кВт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6,71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6,59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44,21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Аренда помещения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50,27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42,50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1,60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center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200,00</w:t>
            </w: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</w:tr>
      <w:tr w:rsidR="00D4193B" w:rsidRPr="00153B56" w:rsidTr="00153B5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>Стоимость 1 (одной) помывки для: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93B" w:rsidRPr="00153B56" w:rsidRDefault="00D4193B" w:rsidP="00D4193B">
            <w:pPr>
              <w:rPr>
                <w:sz w:val="26"/>
                <w:szCs w:val="26"/>
              </w:rPr>
            </w:pPr>
          </w:p>
        </w:tc>
      </w:tr>
      <w:tr w:rsidR="00153B56" w:rsidRPr="00153B56" w:rsidTr="00F5610F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взрослого человека — 200 руб</w:t>
            </w:r>
            <w:r w:rsidRPr="00153B56">
              <w:rPr>
                <w:sz w:val="26"/>
                <w:szCs w:val="26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</w:p>
        </w:tc>
      </w:tr>
      <w:tr w:rsidR="00153B56" w:rsidRPr="00153B56" w:rsidTr="004E1E9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  <w:r w:rsidRPr="00153B56">
              <w:rPr>
                <w:sz w:val="26"/>
                <w:szCs w:val="26"/>
              </w:rPr>
              <w:t xml:space="preserve">            -  ребенка — 100 руб.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B56" w:rsidRPr="00153B56" w:rsidRDefault="00153B56" w:rsidP="00D4193B">
            <w:pPr>
              <w:rPr>
                <w:sz w:val="26"/>
                <w:szCs w:val="26"/>
              </w:rPr>
            </w:pPr>
          </w:p>
        </w:tc>
      </w:tr>
    </w:tbl>
    <w:p w:rsidR="00D4193B" w:rsidRDefault="00D4193B" w:rsidP="00B4115B">
      <w:pPr>
        <w:jc w:val="right"/>
      </w:pPr>
    </w:p>
    <w:sectPr w:rsidR="00D4193B" w:rsidSect="009432E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EE" w:rsidRDefault="001C33EE" w:rsidP="00D4193B">
      <w:r>
        <w:separator/>
      </w:r>
    </w:p>
  </w:endnote>
  <w:endnote w:type="continuationSeparator" w:id="0">
    <w:p w:rsidR="001C33EE" w:rsidRDefault="001C33EE" w:rsidP="00D4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EE" w:rsidRDefault="001C33EE" w:rsidP="00D4193B">
      <w:r>
        <w:separator/>
      </w:r>
    </w:p>
  </w:footnote>
  <w:footnote w:type="continuationSeparator" w:id="0">
    <w:p w:rsidR="001C33EE" w:rsidRDefault="001C33EE" w:rsidP="00D4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3B" w:rsidRDefault="00D4193B" w:rsidP="00D4193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15B"/>
    <w:rsid w:val="000267CF"/>
    <w:rsid w:val="0011753C"/>
    <w:rsid w:val="00153B56"/>
    <w:rsid w:val="001C33EE"/>
    <w:rsid w:val="002A2F82"/>
    <w:rsid w:val="00305F9B"/>
    <w:rsid w:val="003578A4"/>
    <w:rsid w:val="0038513C"/>
    <w:rsid w:val="004114AE"/>
    <w:rsid w:val="00434EB8"/>
    <w:rsid w:val="004650F7"/>
    <w:rsid w:val="004809AF"/>
    <w:rsid w:val="00522A77"/>
    <w:rsid w:val="007C5CEB"/>
    <w:rsid w:val="007D0A4C"/>
    <w:rsid w:val="00837472"/>
    <w:rsid w:val="00971C68"/>
    <w:rsid w:val="00AA55BA"/>
    <w:rsid w:val="00AB7DCA"/>
    <w:rsid w:val="00B4115B"/>
    <w:rsid w:val="00B52D54"/>
    <w:rsid w:val="00C0700D"/>
    <w:rsid w:val="00C941BE"/>
    <w:rsid w:val="00CB4FB0"/>
    <w:rsid w:val="00D4193B"/>
    <w:rsid w:val="00D5231E"/>
    <w:rsid w:val="00E05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7966"/>
  <w15:docId w15:val="{EDB538FF-3540-4A24-A029-FF1B3CF8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C9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523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231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41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41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419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419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3</cp:revision>
  <cp:lastPrinted>2023-05-12T05:14:00Z</cp:lastPrinted>
  <dcterms:created xsi:type="dcterms:W3CDTF">2023-06-02T11:42:00Z</dcterms:created>
  <dcterms:modified xsi:type="dcterms:W3CDTF">2023-08-07T07:23:00Z</dcterms:modified>
</cp:coreProperties>
</file>