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F" w:rsidRPr="00C61804" w:rsidRDefault="00D5527F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250E34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C61804">
        <w:rPr>
          <w:rFonts w:ascii="Times New Roman" w:eastAsia="Times New Roman" w:hAnsi="Times New Roman"/>
          <w:sz w:val="24"/>
          <w:szCs w:val="24"/>
        </w:rPr>
        <w:t>13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.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>06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61804">
        <w:rPr>
          <w:rFonts w:ascii="Times New Roman" w:eastAsia="Times New Roman" w:hAnsi="Times New Roman"/>
          <w:sz w:val="24"/>
          <w:szCs w:val="24"/>
        </w:rPr>
        <w:t>494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407432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9" w:history="1">
              <w:r w:rsidR="00F52739" w:rsidRPr="00250E34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shumstroy01@cap.ru</w:t>
              </w:r>
            </w:hyperlink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250E34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5C438C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Pr="00250E34">
        <w:rPr>
          <w:rFonts w:ascii="Times New Roman" w:hAnsi="Times New Roman"/>
          <w:sz w:val="24"/>
          <w:szCs w:val="26"/>
        </w:rPr>
        <w:t xml:space="preserve"> </w:t>
      </w:r>
      <w:r w:rsidR="00537242" w:rsidRPr="00250E34">
        <w:rPr>
          <w:rFonts w:ascii="Times New Roman" w:hAnsi="Times New Roman"/>
          <w:sz w:val="24"/>
          <w:szCs w:val="26"/>
        </w:rPr>
        <w:t>Д.И. Головин</w:t>
      </w:r>
      <w:r w:rsidRPr="00250E34">
        <w:rPr>
          <w:rFonts w:ascii="Times New Roman" w:hAnsi="Times New Roman"/>
          <w:sz w:val="24"/>
          <w:szCs w:val="26"/>
        </w:rPr>
        <w:t xml:space="preserve">   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Сроки и этапы реализации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190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725,0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10 546,7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53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685,6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3 790,5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20 337,4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129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126,7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5 686,8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55 456,9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я 7 912,7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190 725,0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53 685,6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129 126,7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="00E43F90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190 725,0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53 685,6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129 126,7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7 912,7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43 244,2</w:t>
            </w:r>
          </w:p>
        </w:tc>
        <w:tc>
          <w:tcPr>
            <w:tcW w:w="151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10 781,7</w:t>
            </w:r>
          </w:p>
        </w:tc>
        <w:tc>
          <w:tcPr>
            <w:tcW w:w="1864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29 204,3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10 546,7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3 790,5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5 686,8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147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480,8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903,9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922,4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654,5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20 337,4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456,9</w:t>
            </w:r>
          </w:p>
        </w:tc>
        <w:tc>
          <w:tcPr>
            <w:tcW w:w="1790" w:type="dxa"/>
          </w:tcPr>
          <w:p w:rsidR="0056185E" w:rsidRPr="00250E34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FF7271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 xml:space="preserve">10 </w:t>
            </w:r>
            <w:r w:rsidR="00814B46"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5</w:t>
            </w: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46,7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78218,8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3 790,5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20337,4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5 686,8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55456,9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1 069,4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149 635,9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8 746,2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129,8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59 356,8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250E34">
              <w:rPr>
                <w:rFonts w:ascii="Times New Roman" w:eastAsiaTheme="minorHAnsi" w:hAnsi="Times New Roman"/>
                <w:sz w:val="22"/>
                <w:szCs w:val="22"/>
              </w:rPr>
              <w:t>38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062,1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107,1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14 141,8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103 661,1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5569,7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42 790,5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2 424,5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149 635,9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2646AC" w:rsidRPr="00250E34">
        <w:rPr>
          <w:rFonts w:ascii="Times New Roman" w:eastAsiaTheme="minorHAnsi" w:hAnsi="Times New Roman"/>
          <w:sz w:val="22"/>
          <w:szCs w:val="22"/>
        </w:rPr>
        <w:t>38</w:t>
      </w:r>
      <w:r w:rsidR="009A5780" w:rsidRPr="00250E34">
        <w:rPr>
          <w:rFonts w:ascii="Times New Roman" w:eastAsiaTheme="minorHAnsi" w:hAnsi="Times New Roman"/>
          <w:sz w:val="22"/>
          <w:szCs w:val="22"/>
        </w:rPr>
        <w:t> 062,1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Республиканского бюджета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103 661,1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250E34" w:rsidRDefault="00AF7C13" w:rsidP="00BA1E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</w:t>
            </w:r>
            <w:r w:rsidR="00BA1E93" w:rsidRPr="00250E34">
              <w:rPr>
                <w:rFonts w:ascii="Times New Roman" w:hAnsi="Times New Roman"/>
                <w:sz w:val="18"/>
                <w:szCs w:val="20"/>
              </w:rPr>
              <w:t> 745,4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29396,4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250E34" w:rsidRDefault="00BA1E9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5568,9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12830,1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2424,5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41 089,1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1 800,5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18 862,0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15 623,5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6195,6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25 465,6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117,1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12 666,4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141"/>
        <w:gridCol w:w="712"/>
        <w:gridCol w:w="1138"/>
        <w:gridCol w:w="993"/>
        <w:gridCol w:w="992"/>
        <w:gridCol w:w="1139"/>
      </w:tblGrid>
      <w:tr w:rsidR="002A4730" w:rsidRPr="00250E34" w:rsidTr="00BD14B0">
        <w:tc>
          <w:tcPr>
            <w:tcW w:w="8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gridSpan w:val="3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974" w:type="dxa"/>
            <w:gridSpan w:val="5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14B0" w:rsidRPr="00250E34" w:rsidTr="00B81ED7">
        <w:trPr>
          <w:trHeight w:val="280"/>
        </w:trPr>
        <w:tc>
          <w:tcPr>
            <w:tcW w:w="824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41" w:rsidRDefault="000A0E41">
      <w:pPr>
        <w:spacing w:after="0" w:line="240" w:lineRule="auto"/>
      </w:pPr>
      <w:r>
        <w:separator/>
      </w:r>
    </w:p>
  </w:endnote>
  <w:endnote w:type="continuationSeparator" w:id="0">
    <w:p w:rsidR="000A0E41" w:rsidRDefault="000A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41" w:rsidRDefault="000A0E41">
      <w:pPr>
        <w:spacing w:after="0" w:line="240" w:lineRule="auto"/>
      </w:pPr>
      <w:r>
        <w:separator/>
      </w:r>
    </w:p>
  </w:footnote>
  <w:footnote w:type="continuationSeparator" w:id="0">
    <w:p w:rsidR="000A0E41" w:rsidRDefault="000A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0E41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56DD4"/>
    <w:rsid w:val="001601BE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07432"/>
    <w:rsid w:val="004104D0"/>
    <w:rsid w:val="00410A84"/>
    <w:rsid w:val="00421211"/>
    <w:rsid w:val="00421F5C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255A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4E2F"/>
    <w:rsid w:val="006A50CD"/>
    <w:rsid w:val="006B30B4"/>
    <w:rsid w:val="006E1EE5"/>
    <w:rsid w:val="006F1C8B"/>
    <w:rsid w:val="00712E1A"/>
    <w:rsid w:val="00727B58"/>
    <w:rsid w:val="00760466"/>
    <w:rsid w:val="00761F70"/>
    <w:rsid w:val="00762363"/>
    <w:rsid w:val="00781E4D"/>
    <w:rsid w:val="007B1D45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B0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61804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2AFB"/>
    <w:rsid w:val="00EE718F"/>
    <w:rsid w:val="00F0418F"/>
    <w:rsid w:val="00F111AF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A02C2"/>
    <w:rsid w:val="00FA62C6"/>
    <w:rsid w:val="00FA6993"/>
    <w:rsid w:val="00FA6F66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mstroy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3D9A-41A6-4941-BBC0-6048A87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Оксана Николаевна Сафонова</cp:lastModifiedBy>
  <cp:revision>2</cp:revision>
  <cp:lastPrinted>2024-06-13T05:27:00Z</cp:lastPrinted>
  <dcterms:created xsi:type="dcterms:W3CDTF">2024-07-04T06:15:00Z</dcterms:created>
  <dcterms:modified xsi:type="dcterms:W3CDTF">2024-07-04T06:15:00Z</dcterms:modified>
</cp:coreProperties>
</file>