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18"/>
        <w:jc w:val="center"/>
        <w:rPr>
          <w:b/>
          <w:color w:val="000000"/>
          <w:sz w:val="26"/>
          <w:szCs w:val="26"/>
        </w:rPr>
        <w:outlineLvl w:val="0"/>
      </w:pPr>
      <w:r>
        <w:rPr>
          <w:b/>
          <w:color w:val="000000"/>
          <w:sz w:val="26"/>
          <w:szCs w:val="26"/>
        </w:rPr>
        <w:t xml:space="preserve">Краткая информация </w:t>
      </w:r>
      <w:r/>
    </w:p>
    <w:p>
      <w:pPr>
        <w:pStyle w:val="618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о деятельности предприятий </w:t>
      </w:r>
      <w:r>
        <w:rPr>
          <w:b/>
          <w:color w:val="000000"/>
          <w:sz w:val="26"/>
          <w:szCs w:val="26"/>
        </w:rPr>
        <w:t xml:space="preserve">машиностроительного комплекса</w:t>
      </w:r>
      <w:r>
        <w:rPr>
          <w:b/>
          <w:color w:val="000000"/>
          <w:sz w:val="26"/>
          <w:szCs w:val="26"/>
        </w:rPr>
        <w:t xml:space="preserve">  </w:t>
      </w:r>
      <w:r/>
    </w:p>
    <w:p>
      <w:pPr>
        <w:pStyle w:val="618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Чувашской Республики за </w:t>
      </w:r>
      <w:r>
        <w:rPr>
          <w:b/>
          <w:color w:val="000000"/>
          <w:sz w:val="26"/>
          <w:szCs w:val="26"/>
        </w:rPr>
        <w:t xml:space="preserve">январь – июль 2024</w:t>
      </w:r>
      <w:r>
        <w:rPr>
          <w:b/>
          <w:color w:val="000000"/>
          <w:sz w:val="26"/>
          <w:szCs w:val="26"/>
        </w:rPr>
        <w:t xml:space="preserve"> год</w:t>
      </w:r>
      <w:r/>
    </w:p>
    <w:p>
      <w:pPr>
        <w:pStyle w:val="618"/>
        <w:jc w:val="both"/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</w:r>
      <w:r/>
    </w:p>
    <w:p>
      <w:pPr>
        <w:pStyle w:val="618"/>
        <w:jc w:val="both"/>
        <w:rPr>
          <w:b/>
          <w:bCs/>
          <w:color w:val="000000"/>
          <w:sz w:val="26"/>
          <w:szCs w:val="26"/>
        </w:rPr>
      </w:pPr>
      <w:r>
        <w:rPr>
          <w:color w:val="ff0000"/>
          <w:sz w:val="26"/>
          <w:szCs w:val="26"/>
        </w:rPr>
        <w:tab/>
      </w:r>
      <w:r>
        <w:rPr>
          <w:b/>
          <w:bCs/>
          <w:color w:val="000000"/>
          <w:sz w:val="26"/>
          <w:szCs w:val="26"/>
        </w:rPr>
      </w:r>
      <w:r/>
    </w:p>
    <w:p>
      <w:pPr>
        <w:pStyle w:val="618"/>
        <w:ind w:firstLine="708"/>
        <w:jc w:val="both"/>
        <w:rPr>
          <w:i/>
          <w:color w:val="000000"/>
          <w:sz w:val="22"/>
          <w:szCs w:val="22"/>
          <w:highlight w:val="white"/>
        </w:rPr>
      </w:pPr>
      <w:r>
        <w:rPr>
          <w:b/>
          <w:bCs/>
          <w:color w:val="000000"/>
          <w:sz w:val="26"/>
          <w:szCs w:val="26"/>
        </w:rPr>
        <w:t xml:space="preserve">О</w:t>
      </w:r>
      <w:r>
        <w:rPr>
          <w:b/>
          <w:bCs/>
          <w:color w:val="000000"/>
          <w:sz w:val="26"/>
          <w:szCs w:val="26"/>
        </w:rPr>
        <w:t xml:space="preserve">бъем отгруженных товаров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предприятиями машиностроительного комплекса</w:t>
      </w:r>
      <w:r>
        <w:rPr>
          <w:color w:val="000000"/>
          <w:sz w:val="26"/>
          <w:szCs w:val="26"/>
        </w:rPr>
        <w:t xml:space="preserve"> </w:t>
      </w:r>
      <w:r>
        <w:rPr>
          <w:b/>
          <w:color w:val="000000"/>
          <w:sz w:val="26"/>
          <w:szCs w:val="26"/>
        </w:rPr>
        <w:t xml:space="preserve">за </w:t>
      </w:r>
      <w:r>
        <w:rPr>
          <w:b/>
          <w:color w:val="000000"/>
          <w:sz w:val="26"/>
          <w:szCs w:val="26"/>
        </w:rPr>
        <w:t xml:space="preserve">январь – июль 2024</w:t>
      </w:r>
      <w:r>
        <w:rPr>
          <w:b/>
          <w:color w:val="000000"/>
          <w:sz w:val="26"/>
          <w:szCs w:val="26"/>
        </w:rPr>
        <w:t xml:space="preserve"> год</w:t>
      </w:r>
      <w:r>
        <w:rPr>
          <w:b/>
          <w:bCs/>
          <w:color w:val="000000"/>
          <w:sz w:val="26"/>
          <w:szCs w:val="26"/>
        </w:rPr>
        <w:t xml:space="preserve">а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  <w:highlight w:val="white"/>
        </w:rPr>
        <w:t xml:space="preserve">составил </w:t>
      </w:r>
      <w:r>
        <w:rPr>
          <w:color w:val="000000"/>
          <w:sz w:val="26"/>
          <w:szCs w:val="26"/>
          <w:highlight w:val="white"/>
        </w:rPr>
        <w:t xml:space="preserve">99071</w:t>
      </w:r>
      <w:r>
        <w:rPr>
          <w:color w:val="000000"/>
          <w:sz w:val="26"/>
          <w:szCs w:val="26"/>
          <w:highlight w:val="white"/>
        </w:rPr>
        <w:t xml:space="preserve">,</w:t>
      </w:r>
      <w:r>
        <w:rPr>
          <w:color w:val="000000"/>
          <w:sz w:val="26"/>
          <w:szCs w:val="26"/>
          <w:highlight w:val="white"/>
        </w:rPr>
        <w:t xml:space="preserve">3 </w:t>
      </w:r>
      <w:r>
        <w:rPr>
          <w:color w:val="000000"/>
          <w:sz w:val="26"/>
          <w:szCs w:val="26"/>
          <w:highlight w:val="white"/>
        </w:rPr>
        <w:t xml:space="preserve">млн. рублей, </w:t>
      </w:r>
      <w:r>
        <w:rPr>
          <w:color w:val="000000"/>
          <w:sz w:val="26"/>
          <w:szCs w:val="26"/>
          <w:highlight w:val="white"/>
        </w:rPr>
        <w:t xml:space="preserve">что выше на </w:t>
      </w:r>
      <w:r>
        <w:rPr>
          <w:color w:val="000000"/>
          <w:sz w:val="26"/>
          <w:szCs w:val="26"/>
          <w:highlight w:val="white"/>
        </w:rPr>
        <w:t xml:space="preserve">49,</w:t>
      </w:r>
      <w:r>
        <w:rPr>
          <w:color w:val="000000"/>
          <w:sz w:val="26"/>
          <w:szCs w:val="26"/>
          <w:highlight w:val="white"/>
        </w:rPr>
        <w:t xml:space="preserve">4%</w:t>
      </w:r>
      <w:r>
        <w:rPr>
          <w:color w:val="000000"/>
          <w:sz w:val="26"/>
          <w:szCs w:val="26"/>
          <w:highlight w:val="white"/>
        </w:rPr>
        <w:t xml:space="preserve"> </w:t>
      </w:r>
      <w:r>
        <w:rPr>
          <w:color w:val="000000"/>
          <w:sz w:val="26"/>
          <w:szCs w:val="26"/>
          <w:highlight w:val="white"/>
        </w:rPr>
        <w:t xml:space="preserve">соответствующего </w:t>
      </w:r>
      <w:r>
        <w:rPr>
          <w:color w:val="000000"/>
          <w:sz w:val="26"/>
          <w:szCs w:val="26"/>
          <w:highlight w:val="white"/>
        </w:rPr>
        <w:t xml:space="preserve">периода</w:t>
      </w:r>
      <w:r>
        <w:rPr>
          <w:color w:val="000000"/>
          <w:sz w:val="26"/>
          <w:szCs w:val="26"/>
          <w:highlight w:val="white"/>
        </w:rPr>
        <w:t xml:space="preserve"> </w:t>
      </w:r>
      <w:r>
        <w:rPr>
          <w:color w:val="000000"/>
          <w:sz w:val="26"/>
          <w:szCs w:val="26"/>
          <w:highlight w:val="white"/>
        </w:rPr>
        <w:t xml:space="preserve">20</w:t>
      </w:r>
      <w:r>
        <w:rPr>
          <w:color w:val="000000"/>
          <w:sz w:val="26"/>
          <w:szCs w:val="26"/>
          <w:highlight w:val="white"/>
        </w:rPr>
        <w:t xml:space="preserve">23</w:t>
      </w:r>
      <w:r>
        <w:rPr>
          <w:color w:val="000000"/>
          <w:sz w:val="26"/>
          <w:szCs w:val="26"/>
          <w:highlight w:val="white"/>
        </w:rPr>
        <w:t xml:space="preserve"> года</w:t>
      </w:r>
      <w:r>
        <w:rPr>
          <w:color w:val="000000"/>
          <w:sz w:val="26"/>
          <w:szCs w:val="26"/>
          <w:highlight w:val="white"/>
        </w:rPr>
        <w:t xml:space="preserve"> </w:t>
      </w:r>
      <w:r>
        <w:rPr>
          <w:color w:val="000000"/>
          <w:sz w:val="26"/>
          <w:szCs w:val="26"/>
          <w:highlight w:val="white"/>
        </w:rPr>
        <w:t xml:space="preserve">–</w:t>
      </w:r>
      <w:r>
        <w:rPr>
          <w:color w:val="000000"/>
          <w:sz w:val="26"/>
          <w:szCs w:val="26"/>
          <w:highlight w:val="white"/>
        </w:rPr>
        <w:t xml:space="preserve"> </w:t>
      </w:r>
      <w:r>
        <w:rPr>
          <w:color w:val="000000"/>
          <w:sz w:val="26"/>
          <w:szCs w:val="26"/>
          <w:highlight w:val="white"/>
        </w:rPr>
        <w:t xml:space="preserve">66325,3</w:t>
      </w:r>
      <w:r>
        <w:rPr>
          <w:color w:val="000000"/>
          <w:sz w:val="26"/>
          <w:szCs w:val="26"/>
          <w:highlight w:val="white"/>
        </w:rPr>
        <w:t xml:space="preserve"> </w:t>
      </w:r>
      <w:r>
        <w:rPr>
          <w:color w:val="000000"/>
          <w:sz w:val="26"/>
          <w:szCs w:val="26"/>
          <w:highlight w:val="white"/>
        </w:rPr>
        <w:t xml:space="preserve">млн. рублей</w:t>
      </w:r>
      <w:r>
        <w:rPr>
          <w:i/>
          <w:color w:val="000000"/>
          <w:sz w:val="22"/>
          <w:szCs w:val="22"/>
          <w:highlight w:val="white"/>
        </w:rPr>
        <w:t xml:space="preserve">.</w:t>
      </w:r>
      <w:r>
        <w:rPr>
          <w:i/>
          <w:color w:val="000000"/>
          <w:sz w:val="22"/>
          <w:szCs w:val="22"/>
          <w:highlight w:val="white"/>
        </w:rPr>
        <w:t xml:space="preserve"> </w:t>
      </w:r>
      <w:r>
        <w:rPr>
          <w:i/>
          <w:color w:val="000000"/>
          <w:sz w:val="22"/>
          <w:szCs w:val="22"/>
          <w:highlight w:val="white"/>
        </w:rPr>
      </w:r>
      <w:r>
        <w:rPr>
          <w:highlight w:val="white"/>
        </w:rPr>
      </w:r>
    </w:p>
    <w:p>
      <w:pPr>
        <w:pStyle w:val="629"/>
        <w:ind w:left="0" w:firstLine="709"/>
        <w:jc w:val="both"/>
        <w:spacing w:after="0"/>
        <w:rPr>
          <w:color w:val="000000"/>
          <w:sz w:val="26"/>
          <w:szCs w:val="26"/>
        </w:rPr>
        <w:outlineLvl w:val="0"/>
      </w:pPr>
      <w:r>
        <w:rPr>
          <w:b/>
          <w:color w:val="000000"/>
          <w:sz w:val="26"/>
          <w:szCs w:val="26"/>
        </w:rPr>
        <w:t xml:space="preserve">Индекс промышленного производства:</w:t>
      </w:r>
      <w:r>
        <w:rPr>
          <w:color w:val="000000"/>
          <w:sz w:val="26"/>
          <w:szCs w:val="26"/>
        </w:rPr>
        <w:t xml:space="preserve"> </w:t>
      </w:r>
      <w:r/>
    </w:p>
    <w:p>
      <w:pPr>
        <w:pStyle w:val="618"/>
        <w:ind w:firstLine="709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в металлургическом производстве – </w:t>
      </w:r>
      <w:r>
        <w:rPr>
          <w:bCs/>
          <w:color w:val="000000"/>
          <w:sz w:val="26"/>
          <w:szCs w:val="26"/>
        </w:rPr>
        <w:t xml:space="preserve">122,7</w:t>
      </w:r>
      <w:r>
        <w:rPr>
          <w:bCs/>
          <w:color w:val="000000"/>
          <w:sz w:val="26"/>
          <w:szCs w:val="26"/>
        </w:rPr>
        <w:t xml:space="preserve">%;</w:t>
      </w:r>
      <w:r/>
    </w:p>
    <w:p>
      <w:pPr>
        <w:pStyle w:val="618"/>
        <w:ind w:firstLine="709"/>
        <w:jc w:val="both"/>
        <w:rPr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в производстве готовых металлических изделий, кроме машин и оборудования</w:t>
      </w:r>
      <w:r>
        <w:rPr>
          <w:bCs/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– 156</w:t>
      </w:r>
      <w:r>
        <w:rPr>
          <w:color w:val="000000"/>
          <w:sz w:val="26"/>
          <w:szCs w:val="26"/>
        </w:rPr>
        <w:t xml:space="preserve">,</w:t>
      </w:r>
      <w:r>
        <w:rPr>
          <w:color w:val="000000"/>
          <w:sz w:val="26"/>
          <w:szCs w:val="26"/>
        </w:rPr>
        <w:t xml:space="preserve">7</w:t>
      </w:r>
      <w:r>
        <w:rPr>
          <w:color w:val="000000"/>
          <w:sz w:val="26"/>
          <w:szCs w:val="26"/>
        </w:rPr>
        <w:t xml:space="preserve">%;</w:t>
      </w:r>
      <w:r>
        <w:rPr>
          <w:color w:val="000000"/>
          <w:sz w:val="26"/>
          <w:szCs w:val="26"/>
        </w:rPr>
      </w:r>
      <w:r/>
    </w:p>
    <w:p>
      <w:pPr>
        <w:pStyle w:val="618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в производстве машин и оборудования, не включенных в другие группировки – </w:t>
      </w:r>
      <w:r>
        <w:rPr>
          <w:color w:val="000000"/>
          <w:sz w:val="26"/>
          <w:szCs w:val="26"/>
        </w:rPr>
        <w:t xml:space="preserve">96,</w:t>
      </w:r>
      <w:r>
        <w:rPr>
          <w:color w:val="000000"/>
          <w:sz w:val="26"/>
          <w:szCs w:val="26"/>
        </w:rPr>
        <w:t xml:space="preserve">5%;</w:t>
      </w:r>
      <w:r/>
    </w:p>
    <w:p>
      <w:pPr>
        <w:pStyle w:val="618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в производстве автотранспортных средств, прицепов и полуприцепов – </w:t>
      </w:r>
      <w:r>
        <w:rPr>
          <w:color w:val="000000"/>
          <w:sz w:val="26"/>
          <w:szCs w:val="26"/>
        </w:rPr>
        <w:t xml:space="preserve">  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104,8</w:t>
      </w:r>
      <w:r>
        <w:rPr>
          <w:color w:val="000000"/>
          <w:sz w:val="26"/>
          <w:szCs w:val="26"/>
        </w:rPr>
        <w:t xml:space="preserve">3;</w:t>
      </w:r>
      <w:r/>
    </w:p>
    <w:p>
      <w:pPr>
        <w:pStyle w:val="618"/>
        <w:ind w:firstLine="709"/>
        <w:jc w:val="both"/>
        <w:rPr>
          <w:i/>
          <w:color w:val="000000"/>
          <w:sz w:val="22"/>
          <w:szCs w:val="22"/>
        </w:rPr>
      </w:pPr>
      <w:r>
        <w:rPr>
          <w:color w:val="000000"/>
          <w:sz w:val="26"/>
          <w:szCs w:val="26"/>
        </w:rPr>
        <w:t xml:space="preserve">в производстве прочих транспортных средств и оборудования – </w:t>
      </w:r>
      <w:r>
        <w:rPr>
          <w:color w:val="000000"/>
          <w:sz w:val="26"/>
          <w:szCs w:val="26"/>
        </w:rPr>
        <w:t xml:space="preserve">1</w:t>
      </w:r>
      <w:r>
        <w:rPr>
          <w:color w:val="000000"/>
          <w:sz w:val="26"/>
          <w:szCs w:val="26"/>
        </w:rPr>
        <w:t xml:space="preserve">10</w:t>
      </w:r>
      <w:r>
        <w:rPr>
          <w:color w:val="000000"/>
          <w:sz w:val="26"/>
          <w:szCs w:val="26"/>
        </w:rPr>
        <w:t xml:space="preserve">,3</w:t>
      </w:r>
      <w:r>
        <w:rPr>
          <w:color w:val="000000"/>
          <w:sz w:val="26"/>
          <w:szCs w:val="26"/>
        </w:rPr>
        <w:t xml:space="preserve">%</w:t>
      </w:r>
      <w:r>
        <w:rPr>
          <w:color w:val="000000"/>
          <w:sz w:val="26"/>
          <w:szCs w:val="26"/>
        </w:rPr>
        <w:t xml:space="preserve">.</w:t>
      </w:r>
      <w:r>
        <w:rPr>
          <w:i/>
          <w:color w:val="000000"/>
          <w:sz w:val="22"/>
          <w:szCs w:val="22"/>
        </w:rPr>
      </w:r>
      <w:r/>
    </w:p>
    <w:p>
      <w:pPr>
        <w:pStyle w:val="629"/>
        <w:ind w:left="0" w:firstLine="709"/>
        <w:spacing w:after="0"/>
        <w:rPr>
          <w:b/>
          <w:color w:val="000000"/>
          <w:sz w:val="26"/>
          <w:szCs w:val="26"/>
        </w:rPr>
        <w:outlineLvl w:val="0"/>
      </w:pPr>
      <w:r>
        <w:rPr>
          <w:b/>
          <w:color w:val="000000"/>
          <w:sz w:val="26"/>
          <w:szCs w:val="26"/>
        </w:rPr>
      </w:r>
      <w:r>
        <w:rPr>
          <w:b/>
          <w:color w:val="000000"/>
          <w:sz w:val="26"/>
          <w:szCs w:val="26"/>
        </w:rPr>
        <w:t xml:space="preserve">За </w:t>
      </w:r>
      <w:r>
        <w:rPr>
          <w:b/>
          <w:color w:val="000000"/>
          <w:sz w:val="26"/>
          <w:szCs w:val="26"/>
        </w:rPr>
        <w:t xml:space="preserve">январь – июнь 2024</w:t>
      </w:r>
      <w:r>
        <w:rPr>
          <w:b/>
          <w:color w:val="000000"/>
          <w:sz w:val="26"/>
          <w:szCs w:val="26"/>
        </w:rPr>
        <w:t xml:space="preserve"> год</w:t>
      </w:r>
      <w:r>
        <w:rPr>
          <w:b/>
          <w:bCs/>
          <w:color w:val="000000"/>
          <w:sz w:val="26"/>
          <w:szCs w:val="26"/>
        </w:rPr>
        <w:t xml:space="preserve">а</w:t>
      </w:r>
      <w:r>
        <w:rPr>
          <w:b/>
          <w:color w:val="000000"/>
          <w:sz w:val="26"/>
          <w:szCs w:val="26"/>
        </w:rPr>
        <w:t xml:space="preserve">:</w:t>
      </w:r>
      <w:r/>
    </w:p>
    <w:p>
      <w:pPr>
        <w:pStyle w:val="618"/>
        <w:ind w:firstLine="708"/>
        <w:jc w:val="both"/>
        <w:rPr>
          <w:color w:val="000000"/>
          <w:sz w:val="26"/>
          <w:szCs w:val="26"/>
          <w:highlight w:val="white"/>
        </w:rPr>
      </w:pPr>
      <w:r>
        <w:rPr>
          <w:b/>
          <w:bCs/>
          <w:color w:val="000000"/>
          <w:sz w:val="26"/>
          <w:szCs w:val="26"/>
        </w:rPr>
        <w:t xml:space="preserve">среднесписочная численность</w:t>
      </w:r>
      <w:r>
        <w:rPr>
          <w:color w:val="000000"/>
          <w:sz w:val="26"/>
          <w:szCs w:val="26"/>
        </w:rPr>
        <w:t xml:space="preserve"> работников (без внешних совместителей) по полному кругу организаций </w:t>
      </w:r>
      <w:r>
        <w:rPr>
          <w:color w:val="000000"/>
          <w:sz w:val="26"/>
          <w:szCs w:val="26"/>
        </w:rPr>
        <w:t xml:space="preserve">машиностроительного комплекса</w:t>
      </w:r>
      <w:r>
        <w:rPr>
          <w:color w:val="000000"/>
          <w:sz w:val="26"/>
          <w:szCs w:val="26"/>
        </w:rPr>
        <w:t xml:space="preserve"> состав</w:t>
      </w:r>
      <w:r>
        <w:rPr>
          <w:color w:val="000000"/>
          <w:sz w:val="26"/>
          <w:szCs w:val="26"/>
        </w:rPr>
        <w:t xml:space="preserve">ила</w:t>
      </w:r>
      <w:r>
        <w:rPr>
          <w:color w:val="000000"/>
          <w:sz w:val="26"/>
          <w:szCs w:val="26"/>
        </w:rPr>
        <w:t xml:space="preserve"> 23615</w:t>
      </w:r>
      <w:r>
        <w:rPr>
          <w:color w:val="000000"/>
          <w:sz w:val="26"/>
          <w:szCs w:val="26"/>
        </w:rPr>
        <w:t xml:space="preserve"> человек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  <w:highlight w:val="white"/>
        </w:rPr>
        <w:t xml:space="preserve">(</w:t>
      </w:r>
      <w:r>
        <w:rPr>
          <w:color w:val="000000"/>
          <w:sz w:val="26"/>
          <w:szCs w:val="26"/>
          <w:highlight w:val="white"/>
        </w:rPr>
        <w:t xml:space="preserve">109,</w:t>
      </w:r>
      <w:r>
        <w:rPr>
          <w:color w:val="000000"/>
          <w:sz w:val="26"/>
          <w:szCs w:val="26"/>
          <w:highlight w:val="white"/>
        </w:rPr>
        <w:t xml:space="preserve">5% к </w:t>
      </w:r>
      <w:r>
        <w:rPr>
          <w:color w:val="000000"/>
          <w:sz w:val="26"/>
          <w:szCs w:val="26"/>
          <w:highlight w:val="white"/>
        </w:rPr>
        <w:t xml:space="preserve">соответствующе</w:t>
      </w:r>
      <w:r>
        <w:rPr>
          <w:color w:val="000000"/>
          <w:sz w:val="26"/>
          <w:szCs w:val="26"/>
          <w:highlight w:val="white"/>
        </w:rPr>
        <w:t xml:space="preserve">му</w:t>
      </w:r>
      <w:r>
        <w:rPr>
          <w:color w:val="000000"/>
          <w:sz w:val="26"/>
          <w:szCs w:val="26"/>
          <w:highlight w:val="white"/>
        </w:rPr>
        <w:t xml:space="preserve"> период</w:t>
      </w:r>
      <w:r>
        <w:rPr>
          <w:color w:val="000000"/>
          <w:sz w:val="26"/>
          <w:szCs w:val="26"/>
          <w:highlight w:val="white"/>
        </w:rPr>
        <w:t xml:space="preserve">у</w:t>
      </w:r>
      <w:r>
        <w:rPr>
          <w:color w:val="000000"/>
          <w:sz w:val="26"/>
          <w:szCs w:val="26"/>
          <w:highlight w:val="white"/>
        </w:rPr>
        <w:t xml:space="preserve"> </w:t>
      </w:r>
      <w:r>
        <w:rPr>
          <w:color w:val="000000"/>
          <w:sz w:val="26"/>
          <w:szCs w:val="26"/>
          <w:highlight w:val="white"/>
        </w:rPr>
        <w:t xml:space="preserve">2023</w:t>
      </w:r>
      <w:r>
        <w:rPr>
          <w:color w:val="000000"/>
          <w:sz w:val="26"/>
          <w:szCs w:val="26"/>
          <w:highlight w:val="white"/>
        </w:rPr>
        <w:t xml:space="preserve"> года</w:t>
      </w:r>
      <w:r>
        <w:rPr>
          <w:color w:val="000000"/>
          <w:sz w:val="26"/>
          <w:szCs w:val="26"/>
          <w:highlight w:val="white"/>
        </w:rPr>
        <w:t xml:space="preserve"> – </w:t>
      </w:r>
      <w:r>
        <w:rPr>
          <w:color w:val="000000"/>
          <w:sz w:val="26"/>
          <w:szCs w:val="26"/>
          <w:highlight w:val="white"/>
        </w:rPr>
        <w:t xml:space="preserve">21576</w:t>
      </w:r>
      <w:r>
        <w:rPr>
          <w:color w:val="000000"/>
          <w:sz w:val="26"/>
          <w:szCs w:val="26"/>
          <w:highlight w:val="white"/>
        </w:rPr>
        <w:t xml:space="preserve"> </w:t>
      </w:r>
      <w:r>
        <w:rPr>
          <w:color w:val="000000"/>
          <w:sz w:val="26"/>
          <w:szCs w:val="26"/>
          <w:highlight w:val="white"/>
        </w:rPr>
        <w:t xml:space="preserve">человек</w:t>
      </w:r>
      <w:r>
        <w:rPr>
          <w:color w:val="000000"/>
          <w:sz w:val="26"/>
          <w:szCs w:val="26"/>
          <w:highlight w:val="white"/>
        </w:rPr>
        <w:t xml:space="preserve">)</w:t>
      </w:r>
      <w:r>
        <w:rPr>
          <w:color w:val="000000"/>
          <w:sz w:val="26"/>
          <w:szCs w:val="26"/>
          <w:highlight w:val="white"/>
        </w:rPr>
        <w:t xml:space="preserve">;</w:t>
      </w:r>
      <w:r>
        <w:rPr>
          <w:color w:val="000000"/>
          <w:sz w:val="26"/>
          <w:szCs w:val="26"/>
          <w:highlight w:val="white"/>
        </w:rPr>
      </w:r>
      <w:r>
        <w:rPr>
          <w:highlight w:val="white"/>
        </w:rPr>
      </w:r>
    </w:p>
    <w:p>
      <w:pPr>
        <w:pStyle w:val="618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среднемесячная</w:t>
      </w:r>
      <w:r>
        <w:rPr>
          <w:color w:val="000000"/>
          <w:sz w:val="26"/>
          <w:szCs w:val="26"/>
        </w:rPr>
        <w:t xml:space="preserve"> начисленная</w:t>
      </w:r>
      <w:r>
        <w:rPr>
          <w:color w:val="000000"/>
          <w:sz w:val="26"/>
          <w:szCs w:val="26"/>
        </w:rPr>
        <w:t xml:space="preserve"> заработная плата работников </w:t>
      </w:r>
      <w:r>
        <w:rPr>
          <w:color w:val="000000"/>
          <w:sz w:val="26"/>
          <w:szCs w:val="26"/>
        </w:rPr>
        <w:t xml:space="preserve">на предприятиях машиностроительного комплекса составила:</w:t>
      </w:r>
      <w:r/>
    </w:p>
    <w:p>
      <w:pPr>
        <w:pStyle w:val="618"/>
        <w:ind w:firstLine="709"/>
        <w:jc w:val="both"/>
        <w:rPr>
          <w:bCs/>
          <w:color w:val="000000"/>
          <w:sz w:val="26"/>
          <w:szCs w:val="26"/>
          <w:highlight w:val="white"/>
        </w:rPr>
      </w:pPr>
      <w:r>
        <w:rPr>
          <w:bCs/>
          <w:color w:val="000000"/>
          <w:sz w:val="26"/>
          <w:szCs w:val="26"/>
        </w:rPr>
        <w:t xml:space="preserve">в металлургическом производстве </w:t>
      </w:r>
      <w:r>
        <w:rPr>
          <w:bCs/>
          <w:color w:val="000000"/>
          <w:sz w:val="26"/>
          <w:szCs w:val="26"/>
        </w:rPr>
        <w:t xml:space="preserve">–</w:t>
      </w:r>
      <w:r>
        <w:rPr>
          <w:bCs/>
          <w:color w:val="000000"/>
          <w:sz w:val="26"/>
          <w:szCs w:val="26"/>
        </w:rPr>
        <w:t xml:space="preserve"> </w:t>
      </w:r>
      <w:r>
        <w:rPr>
          <w:bCs/>
          <w:color w:val="000000"/>
          <w:sz w:val="26"/>
          <w:szCs w:val="26"/>
        </w:rPr>
        <w:t xml:space="preserve">80385</w:t>
      </w:r>
      <w:r>
        <w:rPr>
          <w:bCs/>
          <w:color w:val="000000"/>
          <w:sz w:val="26"/>
          <w:szCs w:val="26"/>
        </w:rPr>
        <w:t xml:space="preserve">,</w:t>
      </w:r>
      <w:r>
        <w:rPr>
          <w:bCs/>
          <w:color w:val="000000"/>
          <w:sz w:val="26"/>
          <w:szCs w:val="26"/>
        </w:rPr>
        <w:t xml:space="preserve">1 рубл</w:t>
      </w:r>
      <w:r>
        <w:rPr>
          <w:bCs/>
          <w:color w:val="000000"/>
          <w:sz w:val="26"/>
          <w:szCs w:val="26"/>
        </w:rPr>
        <w:t xml:space="preserve">ей</w:t>
      </w:r>
      <w:r>
        <w:rPr>
          <w:bCs/>
          <w:color w:val="000000"/>
          <w:sz w:val="26"/>
          <w:szCs w:val="26"/>
        </w:rPr>
        <w:t xml:space="preserve"> </w:t>
      </w:r>
      <w:r>
        <w:rPr>
          <w:bCs/>
          <w:color w:val="000000"/>
          <w:sz w:val="26"/>
          <w:szCs w:val="26"/>
          <w:highlight w:val="white"/>
        </w:rPr>
        <w:t xml:space="preserve">(</w:t>
      </w:r>
      <w:r>
        <w:rPr>
          <w:bCs/>
          <w:color w:val="000000"/>
          <w:sz w:val="26"/>
          <w:szCs w:val="26"/>
          <w:highlight w:val="white"/>
        </w:rPr>
        <w:t xml:space="preserve">1</w:t>
      </w:r>
      <w:r>
        <w:rPr>
          <w:bCs/>
          <w:color w:val="000000"/>
          <w:sz w:val="26"/>
          <w:szCs w:val="26"/>
          <w:highlight w:val="white"/>
        </w:rPr>
        <w:t xml:space="preserve">36</w:t>
      </w:r>
      <w:r>
        <w:rPr>
          <w:bCs/>
          <w:color w:val="000000"/>
          <w:sz w:val="26"/>
          <w:szCs w:val="26"/>
          <w:highlight w:val="white"/>
        </w:rPr>
        <w:t xml:space="preserve">,</w:t>
      </w:r>
      <w:r>
        <w:rPr>
          <w:bCs/>
          <w:color w:val="000000"/>
          <w:sz w:val="26"/>
          <w:szCs w:val="26"/>
          <w:highlight w:val="white"/>
        </w:rPr>
        <w:t xml:space="preserve">5</w:t>
      </w:r>
      <w:r>
        <w:rPr>
          <w:bCs/>
          <w:color w:val="000000"/>
          <w:sz w:val="26"/>
          <w:szCs w:val="26"/>
          <w:highlight w:val="white"/>
        </w:rPr>
        <w:t xml:space="preserve">%</w:t>
      </w:r>
      <w:r>
        <w:rPr>
          <w:color w:val="000000"/>
          <w:sz w:val="26"/>
          <w:szCs w:val="26"/>
          <w:highlight w:val="white"/>
        </w:rPr>
        <w:t xml:space="preserve"> к </w:t>
      </w:r>
      <w:r>
        <w:rPr>
          <w:color w:val="000000"/>
          <w:sz w:val="26"/>
          <w:szCs w:val="26"/>
          <w:highlight w:val="white"/>
        </w:rPr>
        <w:t xml:space="preserve">январю – июню 2023 </w:t>
      </w:r>
      <w:r>
        <w:rPr>
          <w:color w:val="000000"/>
          <w:sz w:val="26"/>
          <w:szCs w:val="26"/>
          <w:highlight w:val="white"/>
        </w:rPr>
        <w:t xml:space="preserve">года</w:t>
      </w:r>
      <w:r>
        <w:rPr>
          <w:color w:val="000000"/>
          <w:sz w:val="26"/>
          <w:szCs w:val="26"/>
          <w:highlight w:val="white"/>
        </w:rPr>
        <w:t xml:space="preserve">)</w:t>
      </w:r>
      <w:r>
        <w:rPr>
          <w:bCs/>
          <w:color w:val="000000"/>
          <w:sz w:val="26"/>
          <w:szCs w:val="26"/>
          <w:highlight w:val="white"/>
        </w:rPr>
        <w:t xml:space="preserve">;</w:t>
      </w:r>
      <w:r>
        <w:rPr>
          <w:bCs/>
          <w:color w:val="000000"/>
          <w:sz w:val="26"/>
          <w:szCs w:val="26"/>
          <w:highlight w:val="white"/>
        </w:rPr>
      </w:r>
      <w:r>
        <w:rPr>
          <w:highlight w:val="white"/>
        </w:rPr>
      </w:r>
    </w:p>
    <w:p>
      <w:pPr>
        <w:pStyle w:val="618"/>
        <w:ind w:firstLine="709"/>
        <w:jc w:val="both"/>
        <w:rPr>
          <w:color w:val="000000"/>
          <w:sz w:val="26"/>
          <w:szCs w:val="26"/>
          <w:highlight w:val="white"/>
        </w:rPr>
      </w:pPr>
      <w:r>
        <w:rPr>
          <w:bCs/>
          <w:color w:val="000000"/>
          <w:sz w:val="26"/>
          <w:szCs w:val="26"/>
        </w:rPr>
        <w:t xml:space="preserve">в производстве готовых металлических изделий, кроме машин и оборудования </w:t>
      </w:r>
      <w:r>
        <w:rPr>
          <w:color w:val="000000"/>
          <w:sz w:val="26"/>
          <w:szCs w:val="26"/>
        </w:rPr>
        <w:t xml:space="preserve">– </w:t>
      </w:r>
      <w:r>
        <w:rPr>
          <w:color w:val="000000"/>
          <w:sz w:val="26"/>
          <w:szCs w:val="26"/>
        </w:rPr>
        <w:t xml:space="preserve">79846</w:t>
      </w:r>
      <w:r>
        <w:rPr>
          <w:color w:val="000000"/>
          <w:sz w:val="26"/>
          <w:szCs w:val="26"/>
        </w:rPr>
        <w:t xml:space="preserve">,8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рублей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  <w:highlight w:val="white"/>
        </w:rPr>
        <w:t xml:space="preserve">(</w:t>
      </w:r>
      <w:r>
        <w:rPr>
          <w:color w:val="000000"/>
          <w:sz w:val="26"/>
          <w:szCs w:val="26"/>
          <w:highlight w:val="white"/>
        </w:rPr>
        <w:t xml:space="preserve">138</w:t>
      </w:r>
      <w:r>
        <w:rPr>
          <w:color w:val="000000"/>
          <w:sz w:val="26"/>
          <w:szCs w:val="26"/>
          <w:highlight w:val="white"/>
        </w:rPr>
        <w:t xml:space="preserve">,1</w:t>
      </w:r>
      <w:r>
        <w:rPr>
          <w:color w:val="000000"/>
          <w:sz w:val="26"/>
          <w:szCs w:val="26"/>
          <w:highlight w:val="white"/>
        </w:rPr>
        <w:t xml:space="preserve">%);</w:t>
      </w:r>
      <w:r>
        <w:rPr>
          <w:highlight w:val="white"/>
        </w:rPr>
      </w:r>
    </w:p>
    <w:p>
      <w:pPr>
        <w:pStyle w:val="618"/>
        <w:ind w:firstLine="709"/>
        <w:jc w:val="both"/>
        <w:rPr>
          <w:color w:val="000000"/>
          <w:sz w:val="26"/>
          <w:szCs w:val="26"/>
          <w:highlight w:val="white"/>
        </w:rPr>
      </w:pPr>
      <w:r>
        <w:rPr>
          <w:color w:val="000000"/>
          <w:sz w:val="26"/>
          <w:szCs w:val="26"/>
        </w:rPr>
        <w:t xml:space="preserve">в производстве машин и оборудования, не включенных в другие группировки –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67754</w:t>
      </w:r>
      <w:r>
        <w:rPr>
          <w:color w:val="000000"/>
          <w:sz w:val="26"/>
          <w:szCs w:val="26"/>
        </w:rPr>
        <w:t xml:space="preserve">,</w:t>
      </w:r>
      <w:r>
        <w:rPr>
          <w:color w:val="000000"/>
          <w:sz w:val="26"/>
          <w:szCs w:val="26"/>
        </w:rPr>
        <w:t xml:space="preserve">8</w:t>
      </w:r>
      <w:r>
        <w:rPr>
          <w:color w:val="000000"/>
          <w:sz w:val="26"/>
          <w:szCs w:val="26"/>
        </w:rPr>
        <w:t xml:space="preserve"> рубл</w:t>
      </w:r>
      <w:r>
        <w:rPr>
          <w:color w:val="000000"/>
          <w:sz w:val="26"/>
          <w:szCs w:val="26"/>
        </w:rPr>
        <w:t xml:space="preserve">ей</w:t>
      </w:r>
      <w:r>
        <w:rPr>
          <w:color w:val="000000"/>
          <w:sz w:val="26"/>
          <w:szCs w:val="26"/>
          <w:highlight w:val="white"/>
        </w:rPr>
        <w:t xml:space="preserve"> </w:t>
      </w:r>
      <w:r>
        <w:rPr>
          <w:color w:val="000000"/>
          <w:sz w:val="26"/>
          <w:szCs w:val="26"/>
          <w:highlight w:val="white"/>
        </w:rPr>
        <w:t xml:space="preserve">(</w:t>
      </w:r>
      <w:r>
        <w:rPr>
          <w:color w:val="000000"/>
          <w:sz w:val="26"/>
          <w:szCs w:val="26"/>
          <w:highlight w:val="white"/>
        </w:rPr>
        <w:t xml:space="preserve">122</w:t>
      </w:r>
      <w:r>
        <w:rPr>
          <w:color w:val="000000"/>
          <w:sz w:val="26"/>
          <w:szCs w:val="26"/>
          <w:highlight w:val="white"/>
        </w:rPr>
        <w:t xml:space="preserve">,3</w:t>
      </w:r>
      <w:r>
        <w:rPr>
          <w:color w:val="000000"/>
          <w:sz w:val="26"/>
          <w:szCs w:val="26"/>
          <w:highlight w:val="white"/>
        </w:rPr>
        <w:t xml:space="preserve">%);</w:t>
      </w:r>
      <w:r>
        <w:rPr>
          <w:highlight w:val="white"/>
        </w:rPr>
      </w:r>
    </w:p>
    <w:p>
      <w:pPr>
        <w:pStyle w:val="618"/>
        <w:ind w:firstLine="709"/>
        <w:jc w:val="both"/>
        <w:rPr>
          <w:color w:val="000000"/>
          <w:sz w:val="26"/>
          <w:szCs w:val="26"/>
          <w:highlight w:val="white"/>
        </w:rPr>
      </w:pPr>
      <w:r>
        <w:rPr>
          <w:color w:val="000000"/>
          <w:sz w:val="26"/>
          <w:szCs w:val="26"/>
        </w:rPr>
        <w:t xml:space="preserve">в производстве автотранспортных средств, прицепов и полуприцепов –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77400</w:t>
      </w:r>
      <w:r>
        <w:rPr>
          <w:color w:val="000000"/>
          <w:sz w:val="26"/>
          <w:szCs w:val="26"/>
        </w:rPr>
        <w:t xml:space="preserve">,</w:t>
      </w:r>
      <w:r>
        <w:rPr>
          <w:color w:val="000000"/>
          <w:sz w:val="26"/>
          <w:szCs w:val="26"/>
        </w:rPr>
        <w:t xml:space="preserve">0 рублей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  <w:highlight w:val="white"/>
        </w:rPr>
        <w:t xml:space="preserve">(</w:t>
      </w:r>
      <w:r>
        <w:rPr>
          <w:color w:val="000000"/>
          <w:sz w:val="26"/>
          <w:szCs w:val="26"/>
          <w:highlight w:val="white"/>
        </w:rPr>
        <w:t xml:space="preserve">12</w:t>
      </w:r>
      <w:r>
        <w:rPr>
          <w:color w:val="000000"/>
          <w:sz w:val="26"/>
          <w:szCs w:val="26"/>
          <w:highlight w:val="white"/>
        </w:rPr>
        <w:t xml:space="preserve">8,7</w:t>
      </w:r>
      <w:r>
        <w:rPr>
          <w:color w:val="000000"/>
          <w:sz w:val="26"/>
          <w:szCs w:val="26"/>
          <w:highlight w:val="white"/>
        </w:rPr>
        <w:t xml:space="preserve">%);</w:t>
      </w:r>
      <w:r>
        <w:rPr>
          <w:highlight w:val="white"/>
        </w:rPr>
      </w:r>
    </w:p>
    <w:p>
      <w:pPr>
        <w:pStyle w:val="618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в производстве прочих транспортных средств и оборудования – </w:t>
      </w:r>
      <w:r>
        <w:rPr>
          <w:color w:val="000000"/>
          <w:sz w:val="26"/>
          <w:szCs w:val="26"/>
        </w:rPr>
        <w:t xml:space="preserve">                     </w:t>
      </w:r>
      <w:r>
        <w:rPr>
          <w:color w:val="000000"/>
          <w:sz w:val="26"/>
          <w:szCs w:val="26"/>
        </w:rPr>
        <w:t xml:space="preserve">69617</w:t>
      </w:r>
      <w:r>
        <w:rPr>
          <w:color w:val="000000"/>
          <w:sz w:val="26"/>
          <w:szCs w:val="26"/>
        </w:rPr>
        <w:t xml:space="preserve">,</w:t>
      </w:r>
      <w:r>
        <w:rPr>
          <w:color w:val="000000"/>
          <w:sz w:val="26"/>
          <w:szCs w:val="26"/>
        </w:rPr>
        <w:t xml:space="preserve">6</w:t>
      </w:r>
      <w:r>
        <w:rPr>
          <w:color w:val="000000"/>
          <w:sz w:val="26"/>
          <w:szCs w:val="26"/>
        </w:rPr>
        <w:t xml:space="preserve"> рубл</w:t>
      </w:r>
      <w:r>
        <w:rPr>
          <w:color w:val="000000"/>
          <w:sz w:val="26"/>
          <w:szCs w:val="26"/>
        </w:rPr>
        <w:t xml:space="preserve">ей</w:t>
      </w:r>
      <w:r>
        <w:rPr>
          <w:color w:val="000000"/>
          <w:sz w:val="26"/>
          <w:szCs w:val="26"/>
        </w:rPr>
        <w:t xml:space="preserve"> (</w:t>
      </w:r>
      <w:r>
        <w:rPr>
          <w:color w:val="000000"/>
          <w:sz w:val="26"/>
          <w:szCs w:val="26"/>
        </w:rPr>
        <w:t xml:space="preserve">118</w:t>
      </w:r>
      <w:r>
        <w:rPr>
          <w:color w:val="000000"/>
          <w:sz w:val="26"/>
          <w:szCs w:val="26"/>
        </w:rPr>
        <w:t xml:space="preserve">,</w:t>
      </w:r>
      <w:r>
        <w:rPr>
          <w:color w:val="000000"/>
          <w:sz w:val="26"/>
          <w:szCs w:val="26"/>
        </w:rPr>
        <w:t xml:space="preserve">8</w:t>
      </w:r>
      <w:r>
        <w:rPr>
          <w:color w:val="000000"/>
          <w:sz w:val="26"/>
          <w:szCs w:val="26"/>
        </w:rPr>
        <w:t xml:space="preserve">%).</w:t>
      </w:r>
      <w:r>
        <w:rPr>
          <w:color w:val="000000"/>
          <w:sz w:val="26"/>
          <w:szCs w:val="26"/>
        </w:rPr>
      </w:r>
      <w:r/>
    </w:p>
    <w:sectPr>
      <w:headerReference w:type="default" r:id="rId9"/>
      <w:footnotePr/>
      <w:endnotePr/>
      <w:type w:val="nextPage"/>
      <w:pgSz w:w="11906" w:h="16838" w:orient="portrait"/>
      <w:pgMar w:top="1134" w:right="851" w:bottom="1134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Tahoma">
    <w:panose1 w:val="020B0604030504040204"/>
  </w:font>
  <w:font w:name="TimesET">
    <w:panose1 w:val="02000603000000000000"/>
  </w:font>
  <w:font w:name="Times New Roman">
    <w:panose1 w:val="02020603050405020304"/>
  </w:font>
  <w:font w:name="Cambria">
    <w:panose1 w:val="02040503050406030204"/>
  </w:font>
  <w:font w:name="Arial">
    <w:panose1 w:val="020B06040202020202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49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2</w:t>
    </w:r>
    <w:r>
      <w:fldChar w:fldCharType="end"/>
    </w:r>
    <w:r/>
  </w:p>
  <w:p>
    <w:pPr>
      <w:pStyle w:val="649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0"/>
      <w:numFmt w:val="decimal"/>
      <w:pStyle w:val="642"/>
      <w:isLgl w:val="false"/>
      <w:suff w:val="tab"/>
      <w:lvlText w:val=""/>
      <w:lvlJc w:val="left"/>
      <w:pPr>
        <w:pStyle w:val="618"/>
      </w:pPr>
      <w:rPr>
        <w:rFonts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8"/>
    <w:next w:val="618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8"/>
    <w:next w:val="618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8"/>
    <w:next w:val="618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8"/>
    <w:next w:val="618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8"/>
    <w:next w:val="618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8"/>
    <w:next w:val="618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8"/>
    <w:next w:val="618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8"/>
    <w:next w:val="618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8"/>
    <w:next w:val="618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8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8"/>
    <w:next w:val="618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8"/>
    <w:next w:val="618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8"/>
    <w:next w:val="618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8"/>
    <w:next w:val="618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8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8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8"/>
    <w:next w:val="61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8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8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8"/>
    <w:next w:val="618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8"/>
    <w:next w:val="618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8"/>
    <w:next w:val="618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8"/>
    <w:next w:val="618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8"/>
    <w:next w:val="618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8"/>
    <w:next w:val="618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8"/>
    <w:next w:val="618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8"/>
    <w:next w:val="618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8"/>
    <w:next w:val="618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8"/>
    <w:next w:val="618"/>
    <w:uiPriority w:val="99"/>
    <w:unhideWhenUsed/>
    <w:pPr>
      <w:spacing w:after="0" w:afterAutospacing="0"/>
    </w:pPr>
  </w:style>
  <w:style w:type="paragraph" w:styleId="618" w:default="1">
    <w:name w:val="Normal"/>
    <w:next w:val="618"/>
    <w:link w:val="618"/>
    <w:qFormat/>
    <w:rPr>
      <w:sz w:val="24"/>
      <w:szCs w:val="24"/>
      <w:lang w:val="ru-RU" w:eastAsia="ru-RU" w:bidi="ar-SA"/>
    </w:rPr>
  </w:style>
  <w:style w:type="paragraph" w:styleId="619">
    <w:name w:val="Заголовок 1"/>
    <w:basedOn w:val="618"/>
    <w:next w:val="618"/>
    <w:link w:val="624"/>
    <w:uiPriority w:val="9"/>
    <w:qFormat/>
    <w:pPr>
      <w:keepNext/>
      <w:outlineLvl w:val="0"/>
    </w:pPr>
    <w:rPr>
      <w:rFonts w:ascii="Arial" w:hAnsi="Arial" w:cs="Arial"/>
      <w:i/>
      <w:iCs/>
      <w:u w:val="single"/>
    </w:rPr>
  </w:style>
  <w:style w:type="paragraph" w:styleId="620">
    <w:name w:val="Заголовок 2"/>
    <w:basedOn w:val="618"/>
    <w:next w:val="618"/>
    <w:link w:val="625"/>
    <w:uiPriority w:val="9"/>
    <w:qFormat/>
    <w:pPr>
      <w:ind w:firstLine="709"/>
      <w:jc w:val="both"/>
      <w:keepNext/>
      <w:outlineLvl w:val="1"/>
    </w:pPr>
    <w:rPr>
      <w:b/>
      <w:bCs/>
      <w:color w:val="000000"/>
      <w:szCs w:val="26"/>
    </w:rPr>
  </w:style>
  <w:style w:type="character" w:styleId="621">
    <w:name w:val="Основной шрифт абзаца"/>
    <w:next w:val="621"/>
    <w:link w:val="618"/>
    <w:uiPriority w:val="1"/>
    <w:unhideWhenUsed/>
  </w:style>
  <w:style w:type="table" w:styleId="622">
    <w:name w:val="Обычная таблица"/>
    <w:next w:val="622"/>
    <w:link w:val="618"/>
    <w:uiPriority w:val="99"/>
    <w:semiHidden/>
    <w:unhideWhenUsed/>
    <w:tblPr/>
  </w:style>
  <w:style w:type="numbering" w:styleId="623">
    <w:name w:val="Нет списка"/>
    <w:next w:val="623"/>
    <w:link w:val="618"/>
    <w:uiPriority w:val="99"/>
    <w:semiHidden/>
    <w:unhideWhenUsed/>
  </w:style>
  <w:style w:type="character" w:styleId="624">
    <w:name w:val="Заголовок 1 Знак"/>
    <w:next w:val="624"/>
    <w:link w:val="619"/>
    <w:uiPriority w:val="9"/>
    <w:rPr>
      <w:rFonts w:ascii="Cambria" w:hAnsi="Cambria" w:eastAsia="Times New Roman" w:cs="Times New Roman"/>
      <w:b/>
      <w:bCs/>
      <w:sz w:val="32"/>
      <w:szCs w:val="32"/>
    </w:rPr>
  </w:style>
  <w:style w:type="character" w:styleId="625">
    <w:name w:val="Заголовок 2 Знак"/>
    <w:next w:val="625"/>
    <w:link w:val="620"/>
    <w:uiPriority w:val="9"/>
    <w:semiHidden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626">
    <w:name w:val="Гиперссылка"/>
    <w:next w:val="626"/>
    <w:link w:val="618"/>
    <w:uiPriority w:val="99"/>
    <w:rPr>
      <w:rFonts w:cs="Times New Roman"/>
      <w:color w:val="b0015a"/>
      <w:u w:val="single"/>
    </w:rPr>
  </w:style>
  <w:style w:type="paragraph" w:styleId="627">
    <w:name w:val="Основной текст 2,Основной текст 1"/>
    <w:basedOn w:val="618"/>
    <w:next w:val="627"/>
    <w:link w:val="628"/>
    <w:uiPriority w:val="99"/>
    <w:pPr>
      <w:ind w:left="283"/>
      <w:spacing w:after="120"/>
    </w:pPr>
  </w:style>
  <w:style w:type="character" w:styleId="628">
    <w:name w:val="Основной текст 2 Знак,Основной текст 1 Знак"/>
    <w:next w:val="628"/>
    <w:link w:val="627"/>
    <w:uiPriority w:val="99"/>
    <w:semiHidden/>
    <w:rPr>
      <w:sz w:val="24"/>
      <w:szCs w:val="24"/>
    </w:rPr>
  </w:style>
  <w:style w:type="paragraph" w:styleId="629">
    <w:name w:val="Основной текст с отступом"/>
    <w:basedOn w:val="618"/>
    <w:next w:val="629"/>
    <w:link w:val="630"/>
    <w:uiPriority w:val="99"/>
    <w:pPr>
      <w:ind w:left="283"/>
      <w:spacing w:after="120"/>
    </w:pPr>
  </w:style>
  <w:style w:type="character" w:styleId="630">
    <w:name w:val="Основной текст с отступом Знак"/>
    <w:next w:val="630"/>
    <w:link w:val="629"/>
    <w:uiPriority w:val="99"/>
    <w:semiHidden/>
    <w:rPr>
      <w:sz w:val="24"/>
      <w:szCs w:val="24"/>
    </w:rPr>
  </w:style>
  <w:style w:type="paragraph" w:styleId="631">
    <w:name w:val="Основной текст"/>
    <w:basedOn w:val="618"/>
    <w:next w:val="631"/>
    <w:link w:val="632"/>
    <w:uiPriority w:val="99"/>
    <w:pPr>
      <w:spacing w:after="120"/>
    </w:pPr>
  </w:style>
  <w:style w:type="character" w:styleId="632">
    <w:name w:val="Основной текст Знак"/>
    <w:next w:val="632"/>
    <w:link w:val="631"/>
    <w:uiPriority w:val="99"/>
    <w:semiHidden/>
    <w:rPr>
      <w:sz w:val="24"/>
      <w:szCs w:val="24"/>
    </w:rPr>
  </w:style>
  <w:style w:type="paragraph" w:styleId="633">
    <w:name w:val="ConsPlusNormal"/>
    <w:next w:val="633"/>
    <w:link w:val="618"/>
    <w:pPr>
      <w:ind w:firstLine="720"/>
      <w:widowControl w:val="off"/>
    </w:pPr>
    <w:rPr>
      <w:rFonts w:ascii="Arial" w:hAnsi="Arial" w:cs="Arial"/>
      <w:lang w:val="ru-RU" w:eastAsia="ru-RU" w:bidi="ar-SA"/>
    </w:rPr>
  </w:style>
  <w:style w:type="paragraph" w:styleId="634">
    <w:name w:val="Название"/>
    <w:basedOn w:val="618"/>
    <w:next w:val="634"/>
    <w:link w:val="635"/>
    <w:uiPriority w:val="10"/>
    <w:qFormat/>
    <w:pPr>
      <w:jc w:val="center"/>
    </w:pPr>
    <w:rPr>
      <w:rFonts w:ascii="TimesET" w:hAnsi="TimesET"/>
      <w:b/>
      <w:bCs/>
    </w:rPr>
  </w:style>
  <w:style w:type="character" w:styleId="635">
    <w:name w:val="Название Знак"/>
    <w:next w:val="635"/>
    <w:link w:val="634"/>
    <w:uiPriority w:val="10"/>
    <w:rPr>
      <w:rFonts w:ascii="Cambria" w:hAnsi="Cambria" w:eastAsia="Times New Roman" w:cs="Times New Roman"/>
      <w:b/>
      <w:bCs/>
      <w:sz w:val="32"/>
      <w:szCs w:val="32"/>
    </w:rPr>
  </w:style>
  <w:style w:type="paragraph" w:styleId="636">
    <w:name w:val="Обычный (веб)"/>
    <w:basedOn w:val="618"/>
    <w:next w:val="636"/>
    <w:link w:val="618"/>
    <w:uiPriority w:val="99"/>
    <w:pPr>
      <w:spacing w:before="100" w:beforeAutospacing="1" w:after="100" w:afterAutospacing="1"/>
    </w:pPr>
  </w:style>
  <w:style w:type="paragraph" w:styleId="637">
    <w:name w:val="Подзаголовок"/>
    <w:basedOn w:val="618"/>
    <w:next w:val="637"/>
    <w:link w:val="638"/>
    <w:uiPriority w:val="11"/>
    <w:qFormat/>
    <w:pPr>
      <w:jc w:val="center"/>
    </w:pPr>
    <w:rPr>
      <w:rFonts w:ascii="TimesET" w:hAnsi="TimesET"/>
      <w:sz w:val="28"/>
      <w:szCs w:val="20"/>
    </w:rPr>
  </w:style>
  <w:style w:type="character" w:styleId="638">
    <w:name w:val="Подзаголовок Знак"/>
    <w:next w:val="638"/>
    <w:link w:val="637"/>
    <w:uiPriority w:val="11"/>
    <w:rPr>
      <w:rFonts w:ascii="Cambria" w:hAnsi="Cambria" w:eastAsia="Times New Roman" w:cs="Times New Roman"/>
      <w:sz w:val="24"/>
      <w:szCs w:val="24"/>
    </w:rPr>
  </w:style>
  <w:style w:type="paragraph" w:styleId="639">
    <w:name w:val="Текст выноски"/>
    <w:basedOn w:val="618"/>
    <w:next w:val="639"/>
    <w:link w:val="640"/>
    <w:uiPriority w:val="99"/>
    <w:semiHidden/>
    <w:rPr>
      <w:rFonts w:ascii="Tahoma" w:hAnsi="Tahoma" w:cs="Tahoma"/>
      <w:sz w:val="16"/>
      <w:szCs w:val="16"/>
    </w:rPr>
  </w:style>
  <w:style w:type="character" w:styleId="640">
    <w:name w:val="Текст выноски Знак"/>
    <w:next w:val="640"/>
    <w:link w:val="639"/>
    <w:uiPriority w:val="99"/>
    <w:semiHidden/>
    <w:rPr>
      <w:sz w:val="0"/>
      <w:szCs w:val="0"/>
    </w:rPr>
  </w:style>
  <w:style w:type="paragraph" w:styleId="641">
    <w:name w:val="ConsNormal"/>
    <w:next w:val="641"/>
    <w:link w:val="618"/>
    <w:pPr>
      <w:ind w:firstLine="720"/>
      <w:widowControl w:val="off"/>
    </w:pPr>
    <w:rPr>
      <w:rFonts w:ascii="Arial" w:hAnsi="Arial"/>
      <w:lang w:val="ru-RU" w:eastAsia="ru-RU" w:bidi="ar-SA"/>
    </w:rPr>
  </w:style>
  <w:style w:type="paragraph" w:styleId="642">
    <w:name w:val="маркер1"/>
    <w:basedOn w:val="618"/>
    <w:next w:val="642"/>
    <w:link w:val="618"/>
    <w:pPr>
      <w:numPr>
        <w:numId w:val="1"/>
      </w:numPr>
      <w:jc w:val="both"/>
    </w:pPr>
  </w:style>
  <w:style w:type="paragraph" w:styleId="643">
    <w:name w:val="Основной текст с отступом 3"/>
    <w:basedOn w:val="618"/>
    <w:next w:val="643"/>
    <w:link w:val="644"/>
    <w:uiPriority w:val="99"/>
    <w:pPr>
      <w:ind w:left="283"/>
      <w:spacing w:after="120"/>
    </w:pPr>
    <w:rPr>
      <w:sz w:val="16"/>
      <w:szCs w:val="16"/>
    </w:rPr>
  </w:style>
  <w:style w:type="character" w:styleId="644">
    <w:name w:val="Основной текст с отступом 3 Знак"/>
    <w:next w:val="644"/>
    <w:link w:val="643"/>
    <w:uiPriority w:val="99"/>
    <w:semiHidden/>
    <w:rPr>
      <w:sz w:val="16"/>
      <w:szCs w:val="16"/>
    </w:rPr>
  </w:style>
  <w:style w:type="paragraph" w:styleId="645">
    <w:name w:val="Основной текст с отступом 2"/>
    <w:basedOn w:val="618"/>
    <w:next w:val="645"/>
    <w:link w:val="646"/>
    <w:uiPriority w:val="99"/>
    <w:pPr>
      <w:ind w:firstLine="709"/>
      <w:jc w:val="both"/>
    </w:pPr>
    <w:rPr>
      <w:rFonts w:ascii="Arial" w:hAnsi="Arial" w:cs="Arial"/>
      <w:color w:val="800000"/>
    </w:rPr>
  </w:style>
  <w:style w:type="character" w:styleId="646">
    <w:name w:val="Основной текст с отступом 2 Знак"/>
    <w:next w:val="646"/>
    <w:link w:val="645"/>
    <w:uiPriority w:val="99"/>
    <w:semiHidden/>
    <w:rPr>
      <w:sz w:val="24"/>
      <w:szCs w:val="24"/>
    </w:rPr>
  </w:style>
  <w:style w:type="paragraph" w:styleId="647">
    <w:name w:val="Схема документа"/>
    <w:basedOn w:val="618"/>
    <w:next w:val="647"/>
    <w:link w:val="648"/>
    <w:uiPriority w:val="99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648">
    <w:name w:val="Схема документа Знак"/>
    <w:next w:val="648"/>
    <w:link w:val="647"/>
    <w:uiPriority w:val="99"/>
    <w:semiHidden/>
    <w:rPr>
      <w:sz w:val="0"/>
      <w:szCs w:val="0"/>
    </w:rPr>
  </w:style>
  <w:style w:type="paragraph" w:styleId="649">
    <w:name w:val="Верхний колонтитул"/>
    <w:basedOn w:val="618"/>
    <w:next w:val="649"/>
    <w:link w:val="650"/>
    <w:uiPriority w:val="99"/>
    <w:pPr>
      <w:tabs>
        <w:tab w:val="center" w:pos="4677" w:leader="none"/>
        <w:tab w:val="right" w:pos="9355" w:leader="none"/>
      </w:tabs>
    </w:pPr>
  </w:style>
  <w:style w:type="character" w:styleId="650">
    <w:name w:val="Верхний колонтитул Знак"/>
    <w:next w:val="650"/>
    <w:link w:val="649"/>
    <w:uiPriority w:val="99"/>
    <w:rPr>
      <w:sz w:val="24"/>
      <w:szCs w:val="24"/>
    </w:rPr>
  </w:style>
  <w:style w:type="paragraph" w:styleId="651">
    <w:name w:val="Нижний колонтитул"/>
    <w:basedOn w:val="618"/>
    <w:next w:val="651"/>
    <w:link w:val="652"/>
    <w:pPr>
      <w:tabs>
        <w:tab w:val="center" w:pos="4677" w:leader="none"/>
        <w:tab w:val="right" w:pos="9355" w:leader="none"/>
      </w:tabs>
    </w:pPr>
  </w:style>
  <w:style w:type="character" w:styleId="652">
    <w:name w:val="Нижний колонтитул Знак"/>
    <w:next w:val="652"/>
    <w:link w:val="651"/>
    <w:rPr>
      <w:sz w:val="24"/>
      <w:szCs w:val="24"/>
    </w:rPr>
  </w:style>
  <w:style w:type="character" w:styleId="906" w:default="1">
    <w:name w:val="Default Paragraph Font"/>
    <w:uiPriority w:val="1"/>
    <w:semiHidden/>
    <w:unhideWhenUsed/>
  </w:style>
  <w:style w:type="numbering" w:styleId="907" w:default="1">
    <w:name w:val="No List"/>
    <w:uiPriority w:val="99"/>
    <w:semiHidden/>
    <w:unhideWhenUsed/>
  </w:style>
  <w:style w:type="table" w:styleId="908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>GKSI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Итоги развития промышленного комплекса на 25</dc:title>
  <dc:creator>Администратор</dc:creator>
  <cp:revision>3</cp:revision>
  <dcterms:created xsi:type="dcterms:W3CDTF">2022-02-25T10:27:00Z</dcterms:created>
  <dcterms:modified xsi:type="dcterms:W3CDTF">2024-09-18T10:31:47Z</dcterms:modified>
  <cp:version>917504</cp:version>
</cp:coreProperties>
</file>