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b/>
          <w:color w:val="000000" w:themeColor="text1"/>
          <w:sz w:val="26"/>
          <w:szCs w:val="26"/>
        </w:rPr>
        <w:t>ИНФОРМАЦИЯ</w:t>
      </w:r>
    </w:p>
    <w:p>
      <w:pPr>
        <w:pStyle w:val="Normal"/>
        <w:ind w:hanging="0"/>
        <w:jc w:val="center"/>
        <w:rPr/>
      </w:pPr>
      <w:r>
        <w:rPr>
          <w:b/>
          <w:color w:val="000000" w:themeColor="text1"/>
          <w:sz w:val="26"/>
          <w:szCs w:val="26"/>
        </w:rPr>
        <w:t xml:space="preserve">о социально-экономическом развитии Ядринского </w:t>
      </w:r>
      <w:r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муниципального округа </w:t>
      </w:r>
      <w:r>
        <w:rPr>
          <w:b/>
          <w:color w:val="000000" w:themeColor="text1"/>
          <w:sz w:val="26"/>
          <w:szCs w:val="26"/>
        </w:rPr>
        <w:t xml:space="preserve"> Чувашской Республики за январь-май 2023 года </w:t>
      </w:r>
    </w:p>
    <w:p>
      <w:pPr>
        <w:pStyle w:val="Normal"/>
        <w:ind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rPr/>
      </w:pPr>
      <w:r>
        <w:rPr>
          <w:b/>
          <w:bCs/>
          <w:sz w:val="26"/>
          <w:szCs w:val="26"/>
        </w:rPr>
        <w:tab/>
        <w:t>Исполнение  консолидированного бюджета района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/>
          <w:b/>
          <w:bCs/>
          <w:color w:val="000000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По доходам бюджет Ядринского муниципального округа Чувашской Республики на 1 ию</w:t>
      </w:r>
      <w:r>
        <w:rPr>
          <w:rFonts w:cs="Times New Roman" w:ascii="Times New Roman" w:hAnsi="Times New Roman"/>
          <w:sz w:val="26"/>
          <w:szCs w:val="26"/>
        </w:rPr>
        <w:t>л</w:t>
      </w:r>
      <w:r>
        <w:rPr>
          <w:rFonts w:cs="Times New Roman" w:ascii="Times New Roman" w:hAnsi="Times New Roman"/>
          <w:sz w:val="26"/>
          <w:szCs w:val="26"/>
        </w:rPr>
        <w:t xml:space="preserve">я 2023 года исполнен в объеме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390,8</w:t>
      </w:r>
      <w:r>
        <w:rPr>
          <w:rFonts w:cs="Times New Roman" w:ascii="Times New Roman" w:hAnsi="Times New Roman"/>
          <w:sz w:val="26"/>
          <w:szCs w:val="26"/>
        </w:rPr>
        <w:t xml:space="preserve"> млн. рублей, в том числе по собственным (налоговым и неналоговым) доходам – в объеме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98,5</w:t>
      </w:r>
      <w:r>
        <w:rPr>
          <w:rFonts w:cs="Times New Roman" w:ascii="Times New Roman" w:hAnsi="Times New Roman"/>
          <w:sz w:val="26"/>
          <w:szCs w:val="26"/>
        </w:rPr>
        <w:t xml:space="preserve"> млн. рублей, что составляет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109,</w:t>
      </w:r>
      <w:r>
        <w:rPr>
          <w:rFonts w:cs="Times New Roman" w:ascii="Times New Roman" w:hAnsi="Times New Roman"/>
          <w:sz w:val="26"/>
          <w:szCs w:val="26"/>
        </w:rPr>
        <w:t xml:space="preserve">% к уровню аналогичного периода 2022 года.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Расходы бюджета Ядринского муниципального округа Чувашской Республики на 1 ию</w:t>
      </w:r>
      <w:r>
        <w:rPr>
          <w:rFonts w:cs="Times New Roman" w:ascii="Times New Roman" w:hAnsi="Times New Roman"/>
          <w:sz w:val="26"/>
          <w:szCs w:val="26"/>
        </w:rPr>
        <w:t>л</w:t>
      </w:r>
      <w:r>
        <w:rPr>
          <w:rFonts w:cs="Times New Roman" w:ascii="Times New Roman" w:hAnsi="Times New Roman"/>
          <w:sz w:val="26"/>
          <w:szCs w:val="26"/>
        </w:rPr>
        <w:t xml:space="preserve">я 2023 года составили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376,4</w:t>
      </w:r>
      <w:r>
        <w:rPr>
          <w:rFonts w:cs="Times New Roman" w:ascii="Times New Roman" w:hAnsi="Times New Roman"/>
          <w:sz w:val="26"/>
          <w:szCs w:val="26"/>
        </w:rPr>
        <w:t xml:space="preserve"> млн. рублей, в том числе расходы на образование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220,3</w:t>
      </w:r>
      <w:r>
        <w:rPr>
          <w:rFonts w:cs="Times New Roman" w:ascii="Times New Roman" w:hAnsi="Times New Roman"/>
          <w:sz w:val="26"/>
          <w:szCs w:val="26"/>
        </w:rPr>
        <w:t xml:space="preserve"> млн. рублей, культуру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31,6</w:t>
      </w:r>
      <w:r>
        <w:rPr>
          <w:rFonts w:cs="Times New Roman" w:ascii="Times New Roman" w:hAnsi="Times New Roman"/>
          <w:sz w:val="26"/>
          <w:szCs w:val="26"/>
        </w:rPr>
        <w:t xml:space="preserve"> млн. рублей, физическую культуру и спорт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 xml:space="preserve">10,9 </w:t>
      </w:r>
      <w:r>
        <w:rPr>
          <w:rFonts w:cs="Times New Roman" w:ascii="Times New Roman" w:hAnsi="Times New Roman"/>
          <w:sz w:val="26"/>
          <w:szCs w:val="26"/>
        </w:rPr>
        <w:t xml:space="preserve">млн. руб.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Бюджет Ядринского муниципального округа Чувашской Республики исполнен с профицитом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zh-CN" w:bidi="ar-SA"/>
        </w:rPr>
        <w:t>14,4</w:t>
      </w:r>
      <w:r>
        <w:rPr>
          <w:rFonts w:cs="Times New Roman" w:ascii="Times New Roman" w:hAnsi="Times New Roman"/>
          <w:sz w:val="26"/>
          <w:szCs w:val="26"/>
        </w:rPr>
        <w:t xml:space="preserve"> млн. рублей.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b/>
          <w:sz w:val="26"/>
          <w:szCs w:val="26"/>
        </w:rPr>
        <w:t>Развитие сельского хозяйства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1 июня 2023 года насчитывается поголовье крупного рогатого скота в хозяйствах всех категорий 7997 голов, (89,7% к уровню прошлого года), в том числе коров насчитывается в хозяйствах всех категорий - 4469 голов, (95,5% к уровню прошлого года), из них в сельхозпредприятиях насчитывается 886 голов (107,9% к уровню прошлого года). В личных подсобных хозяйствах – 3363 голов (93,2% к уровню 2022 года), в КФХ насчитывается поголовье коров 220 голов (87,6 к уровню прошлого года).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Свиней насчитывается – 946 голов (105,3%), из них в сельхозпредприятиях насчитывается 351 голов, в личных подсобных хозяйствах – 593 голов (89,4% к уровню 2022 года), в КФХ насчитывается - 2 головы (20,0%).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Овец насчитывается в хозяйствах всех категорий 3306 голов (82,0% к 2022 году), птиц – 39904 головы (98,7% к 2022 году).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Произведено мяса во всех категориях хозяйств 486,45 тонн (102,4% к 2022 году), в т.ч. в СХПК – 113,48 тонн (115,7 % к 2022 г.), в личных подсобных хозяйствах – 349,37 тонн и в КФХ – 23,6 тонн.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Валовой надой молока в хозяйствах всех категорий за май 2023 года составил 12187,81 тонн (96,9% к 2022 году), в том числе сельхозпредприятиями произведено 2967,01 тонны (120,4%), в ЛПХ – 8734,24 тонн (90,7%), в КФХ – 486,56 тонн (102,0% к 2022 году).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Средний надой молока от одной коровы в сельхозпредприятиях – 3465 кг, в ООО «Родина» - 3324 кг, в КОПХ «Ленинская Искра» - 4162 кг, в СХПК «Выльский» - 2559 кг. ООО «Герой» - 2490 кг.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b/>
          <w:sz w:val="26"/>
          <w:szCs w:val="26"/>
        </w:rPr>
        <w:t>Растениеводство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состоянию на 01.06.2023 г. посевные площади зерновых и зернобобовых культур составила 8105,5 га яровых зерновых и зернобобовых культур, что составляет  91,6% к плану сева, из них пшеница яровая – 1540 га, ячмень – 5047 га, овес – 428 га, зернобобовые – 1308 га.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Технические культуры посеяны на площади 1228 га, в т.ч. рапса посеяно 949 га, прочие технические культуры (лен, горчица, фацелия) – 279 га.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Посадка картофеля проведена на площади 253 га, что составляет 71,3% к плану. Посадочные работы продолжаются.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Овощи открытого грунта посеяны на площади 85 га, что составляет 89,5% к плану сева. Посевные работы продолжаются.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Навешивание хмеля проведено на площади 52 га.</w:t>
      </w:r>
    </w:p>
    <w:p>
      <w:pPr>
        <w:pStyle w:val="Normal"/>
        <w:ind w:hanging="0"/>
        <w:jc w:val="both"/>
        <w:rPr/>
      </w:pPr>
      <w:r>
        <w:rPr>
          <w:b/>
          <w:bCs/>
          <w:color w:val="000000"/>
          <w:sz w:val="26"/>
          <w:szCs w:val="26"/>
        </w:rPr>
        <w:tab/>
        <w:t>Промышленными предприятиями района</w:t>
      </w:r>
      <w:r>
        <w:rPr>
          <w:color w:val="000000"/>
          <w:sz w:val="26"/>
          <w:szCs w:val="26"/>
        </w:rPr>
        <w:t xml:space="preserve"> (без субъектов малого предпринимательства) за январь - май текущего года отгружено продукции на сумму </w:t>
      </w:r>
      <w:r>
        <w:rPr>
          <w:rFonts w:cs="Arial"/>
          <w:sz w:val="26"/>
          <w:szCs w:val="26"/>
        </w:rPr>
        <w:t xml:space="preserve">2609,8 </w:t>
      </w:r>
      <w:r>
        <w:rPr>
          <w:color w:val="000000"/>
          <w:sz w:val="26"/>
          <w:szCs w:val="26"/>
        </w:rPr>
        <w:t xml:space="preserve">млн. рублей, что составляет </w:t>
      </w:r>
      <w:r>
        <w:rPr>
          <w:rFonts w:cs="Arial"/>
          <w:sz w:val="26"/>
          <w:szCs w:val="26"/>
        </w:rPr>
        <w:t xml:space="preserve">113,17% </w:t>
      </w:r>
      <w:r>
        <w:rPr>
          <w:color w:val="000000"/>
          <w:sz w:val="26"/>
          <w:szCs w:val="26"/>
        </w:rPr>
        <w:t xml:space="preserve">к уровню аналогичного периода прошлого года. </w:t>
      </w:r>
    </w:p>
    <w:p>
      <w:pPr>
        <w:pStyle w:val="Normal"/>
        <w:ind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Уровень жизни и занятость населения</w:t>
      </w:r>
      <w:r>
        <w:rPr>
          <w:color w:val="000000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Среднемесячная заработная плата по организациям района за январь – март  2023 года составила 37801,4 рублей (119,6% к аналогичному периоду прошлого года). </w:t>
      </w:r>
    </w:p>
    <w:p>
      <w:pPr>
        <w:pStyle w:val="Normal"/>
        <w:ind w:hanging="0"/>
        <w:rPr/>
      </w:pPr>
      <w:r>
        <w:rPr>
          <w:color w:val="000000"/>
          <w:sz w:val="26"/>
          <w:szCs w:val="26"/>
        </w:rPr>
        <w:tab/>
      </w:r>
      <w:r>
        <w:rPr>
          <w:b/>
          <w:sz w:val="26"/>
          <w:szCs w:val="26"/>
        </w:rPr>
        <w:t>Занятость населения</w:t>
      </w:r>
    </w:p>
    <w:p>
      <w:pPr>
        <w:pStyle w:val="Normal"/>
        <w:ind w:firstLine="709"/>
        <w:jc w:val="both"/>
        <w:rPr/>
      </w:pPr>
      <w:r>
        <w:rPr/>
        <w:t>На 01 июня 2023 года в качестве безработных зарегистрировано 57 граждан.</w:t>
      </w:r>
    </w:p>
    <w:p>
      <w:pPr>
        <w:pStyle w:val="Normal"/>
        <w:ind w:firstLine="709"/>
        <w:jc w:val="both"/>
        <w:rPr/>
      </w:pPr>
      <w:r>
        <w:rPr/>
        <w:t>Из общего числа безработных:</w:t>
      </w:r>
    </w:p>
    <w:p>
      <w:pPr>
        <w:pStyle w:val="Normal"/>
        <w:ind w:hanging="0"/>
        <w:jc w:val="both"/>
        <w:rPr/>
      </w:pPr>
      <w:r>
        <w:rPr/>
        <w:t>- уволенные по сокращению – 9 человек (16%);</w:t>
      </w:r>
    </w:p>
    <w:p>
      <w:pPr>
        <w:pStyle w:val="Normal"/>
        <w:ind w:hanging="0"/>
        <w:jc w:val="both"/>
        <w:rPr/>
      </w:pPr>
      <w:r>
        <w:rPr/>
        <w:t>- по собственному желанию – 32 человека (56%);</w:t>
      </w:r>
    </w:p>
    <w:p>
      <w:pPr>
        <w:pStyle w:val="Normal"/>
        <w:ind w:hanging="0"/>
        <w:jc w:val="both"/>
        <w:rPr/>
      </w:pPr>
      <w:r>
        <w:rPr/>
        <w:t>- жители сельской местности – 47 человек (82%);</w:t>
      </w:r>
    </w:p>
    <w:p>
      <w:pPr>
        <w:pStyle w:val="Normal"/>
        <w:ind w:hanging="0"/>
        <w:jc w:val="both"/>
        <w:rPr/>
      </w:pPr>
      <w:r>
        <w:rPr/>
        <w:t>- инвалиды – 2человека (3%);</w:t>
      </w:r>
    </w:p>
    <w:p>
      <w:pPr>
        <w:pStyle w:val="Normal"/>
        <w:ind w:hanging="0"/>
        <w:jc w:val="both"/>
        <w:rPr/>
      </w:pPr>
      <w:r>
        <w:rPr/>
        <w:t>- граждане предпенсионного возраста – 10 человек (17%).</w:t>
      </w:r>
    </w:p>
    <w:p>
      <w:pPr>
        <w:pStyle w:val="Normal"/>
        <w:ind w:firstLine="709"/>
        <w:jc w:val="both"/>
        <w:rPr/>
      </w:pPr>
      <w:r>
        <w:rPr/>
        <w:t>Уровень безработицы по отношению к трудоспособному населению составляет 0,47%.</w:t>
      </w:r>
    </w:p>
    <w:p>
      <w:pPr>
        <w:pStyle w:val="Normal"/>
        <w:ind w:firstLine="709"/>
        <w:jc w:val="both"/>
        <w:rPr/>
      </w:pPr>
      <w:r>
        <w:rPr/>
        <w:t>Заявлена потребность в работниках в количестве 362 вакансии.</w:t>
      </w:r>
    </w:p>
    <w:p>
      <w:pPr>
        <w:pStyle w:val="Normal"/>
        <w:ind w:firstLine="709"/>
        <w:jc w:val="both"/>
        <w:rPr/>
      </w:pPr>
      <w:r>
        <w:rPr/>
        <w:t>Коэффициент напряженности рынка труда (численность обратившихся за содействием в трудоустройстве граждан в расчете на одну вакансию) составляет 0,15 единицы.</w:t>
      </w:r>
    </w:p>
    <w:p>
      <w:pPr>
        <w:pStyle w:val="Normal"/>
        <w:ind w:firstLine="709"/>
        <w:jc w:val="both"/>
        <w:rPr/>
      </w:pPr>
      <w:r>
        <w:rPr/>
        <w:t>Всего трудоустроено с начала года на 01.06.2023 г. – 221 гражданин.</w:t>
      </w:r>
    </w:p>
    <w:p>
      <w:pPr>
        <w:pStyle w:val="Normal"/>
        <w:ind w:hanging="0"/>
        <w:jc w:val="both"/>
        <w:rPr/>
      </w:pPr>
      <w:r>
        <w:rPr>
          <w:b/>
          <w:bCs/>
          <w:color w:val="000000"/>
          <w:sz w:val="26"/>
          <w:szCs w:val="26"/>
        </w:rPr>
        <w:tab/>
        <w:t>Потребительский рынок</w:t>
      </w:r>
    </w:p>
    <w:p>
      <w:pPr>
        <w:pStyle w:val="Normal"/>
        <w:ind w:hanging="0"/>
        <w:jc w:val="both"/>
        <w:rPr/>
      </w:pPr>
      <w:r>
        <w:rPr>
          <w:color w:val="000000"/>
          <w:sz w:val="26"/>
          <w:szCs w:val="26"/>
        </w:rPr>
        <w:tab/>
        <w:t xml:space="preserve">Оборот розничной торговли по организациям всех видов деятельности (без субъектов малого предпринимательства) за январь – апрель 2023 года составил 439,03 млн. рублей, или 113,7% к уровню соответствующего периода прошлого года. Оборот общественного питания – 5344,5 тыс. рублей, или 98,2%.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В текущем году продолжается ежедневный оперативный мониторинг потребительских цен на продовольственные товары по 52 наименованиям в торговых объектах, результаты передаются в Минэкономразвития Чувашии,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округов республики.</w:t>
      </w:r>
    </w:p>
    <w:p>
      <w:pPr>
        <w:pStyle w:val="Normal"/>
        <w:ind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Демографическая политика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данным отдела ЗАГС администрации Ядринского муниципального округа Чувашской Республики, за январь – май 2023 года зарегистрировано: рождение 38 детей, что на 8 малышей меньше, чем в аналогичном периоде 2022 года (46), смертей – 184 человека, что на 1 человек больше, чем в аналогичном периоде 2022 году (183), заключение брака – 17 семей, что на 4 брака меньше, чем в аналогичном  периоде  2022 года (21), расторгли  брак – 25 семей, что на 4 семьи  меньше, чем в 2022 году (29).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>Предоставление государственных и муниципальных услуг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За январь-май 2023 года в МФЦ Ядринского района зарегистрировано 5957 обращений граждан, в том числе принято 4433 заявлений на получение услуг и проконсультировано 1524 потребителей услуг, выдан 3621 результат.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Нагрузка на 1 универсального специалиста (прием, консультация и выдача документов) в день составляет 22,24. Среднее время ожидания в очереди составляет 2,43 мин. (норматив – не более 15 мин.) Оплачен</w:t>
      </w:r>
      <w:r>
        <w:rPr>
          <w:rFonts w:cs="Times New Roman" w:ascii="Times New Roman" w:hAnsi="Times New Roman"/>
          <w:sz w:val="26"/>
          <w:szCs w:val="26"/>
          <w:lang w:val="en-US"/>
        </w:rPr>
        <w:t>j</w:t>
      </w:r>
      <w:r>
        <w:rPr>
          <w:rFonts w:cs="Times New Roman" w:ascii="Times New Roman" w:hAnsi="Times New Roman"/>
          <w:sz w:val="26"/>
          <w:szCs w:val="26"/>
        </w:rPr>
        <w:t xml:space="preserve"> 801,6 тыс. рублей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Обратившись в МФЦ Ядринского можно получить консультации и подать документы на получение на сегодня 176 услуг, в том числе : 58 - федеральных, 61 - республиканских, 37 - муниципальных услуг, 7 – корпораций МСП, 13 - прочих.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структуре из общего количества обращений за январь-март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2023 года доля обращений за федеральными и внебюджетными услугами составляет - 61,6%, за республиканскими услугами – 7,6%, за муниципальными услугами - 0,9%, за  прочими – 29,9%.</w:t>
      </w:r>
    </w:p>
    <w:p>
      <w:pPr>
        <w:pStyle w:val="Normal"/>
        <w:ind w:hanging="0"/>
        <w:jc w:val="both"/>
        <w:rPr>
          <w:highlight w:val="green"/>
        </w:rPr>
      </w:pP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b/>
          <w:bCs/>
          <w:color w:val="000000"/>
          <w:sz w:val="26"/>
          <w:szCs w:val="26"/>
          <w:highlight w:val="green"/>
        </w:rPr>
        <w:t>Муниципальная собственность</w:t>
      </w:r>
    </w:p>
    <w:p>
      <w:pPr>
        <w:pStyle w:val="Normal"/>
        <w:widowControl w:val="false"/>
        <w:ind w:firstLine="720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 xml:space="preserve"> </w:t>
      </w:r>
      <w:r>
        <w:rPr>
          <w:rFonts w:eastAsia="Calibri"/>
          <w:color w:val="000000"/>
          <w:sz w:val="26"/>
          <w:szCs w:val="26"/>
          <w:highlight w:val="green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Республики.</w:t>
      </w:r>
    </w:p>
    <w:p>
      <w:pPr>
        <w:pStyle w:val="Normal"/>
        <w:widowControl w:val="false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ab/>
        <w:t>Отдел имущественных и земельных отношений Ядринской районной администрации Чувашской Республики является основным органом, уполномоченным от имени муниципального образования осуществлять управление и распоряжение муниципальной собственностью.</w:t>
      </w:r>
    </w:p>
    <w:p>
      <w:pPr>
        <w:pStyle w:val="Normal"/>
        <w:widowControl w:val="false"/>
        <w:ind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>На 01.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04.</w:t>
      </w:r>
      <w:r>
        <w:rPr>
          <w:rFonts w:eastAsia="Calibri"/>
          <w:color w:val="000000"/>
          <w:sz w:val="26"/>
          <w:szCs w:val="26"/>
          <w:highlight w:val="green"/>
        </w:rPr>
        <w:t xml:space="preserve">2023 года в бюджет Ядринского района Чувашской Республики поступили доходы от управления муниципальной собственностью (муниципальным имуществом и земельными ресурсами) в общем объеме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 xml:space="preserve">1917,65 </w:t>
      </w:r>
      <w:r>
        <w:rPr>
          <w:rFonts w:eastAsia="Calibri"/>
          <w:color w:val="000000"/>
          <w:sz w:val="26"/>
          <w:szCs w:val="26"/>
          <w:highlight w:val="green"/>
        </w:rPr>
        <w:t>тыс. руб. (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63,70</w:t>
      </w:r>
      <w:r>
        <w:rPr>
          <w:rFonts w:eastAsia="Calibri"/>
          <w:color w:val="000000"/>
          <w:sz w:val="26"/>
          <w:szCs w:val="26"/>
          <w:highlight w:val="green"/>
        </w:rPr>
        <w:t>% к соответствующему периоду прошлого года), в том числе:</w:t>
      </w:r>
    </w:p>
    <w:p>
      <w:pPr>
        <w:pStyle w:val="Normal"/>
        <w:widowControl w:val="false"/>
        <w:ind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 xml:space="preserve">- доходы от аренды земельных участков –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 xml:space="preserve">1716,66 </w:t>
      </w:r>
      <w:r>
        <w:rPr>
          <w:rFonts w:eastAsia="Calibri"/>
          <w:color w:val="000000"/>
          <w:sz w:val="26"/>
          <w:szCs w:val="26"/>
          <w:highlight w:val="green"/>
        </w:rPr>
        <w:t>тыс. руб. (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86,92</w:t>
      </w:r>
      <w:r>
        <w:rPr>
          <w:rFonts w:eastAsia="Calibri"/>
          <w:color w:val="000000"/>
          <w:sz w:val="26"/>
          <w:szCs w:val="26"/>
          <w:highlight w:val="green"/>
        </w:rPr>
        <w:t>% к соответствующему периоду прошлого года);</w:t>
      </w:r>
    </w:p>
    <w:p>
      <w:pPr>
        <w:pStyle w:val="Normal"/>
        <w:widowControl w:val="false"/>
        <w:ind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 xml:space="preserve">- доходы от аренды муниципального имущества –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 xml:space="preserve">129,52 </w:t>
      </w:r>
      <w:r>
        <w:rPr>
          <w:rFonts w:eastAsia="Calibri"/>
          <w:color w:val="000000"/>
          <w:sz w:val="26"/>
          <w:szCs w:val="26"/>
          <w:highlight w:val="green"/>
        </w:rPr>
        <w:t>тыс. руб. (75,54% к соответствующему периоду прошлого года);</w:t>
      </w:r>
    </w:p>
    <w:p>
      <w:pPr>
        <w:pStyle w:val="Normal"/>
        <w:widowControl w:val="false"/>
        <w:ind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 xml:space="preserve">- доходы от продажи земельных участков —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2,76</w:t>
      </w:r>
      <w:r>
        <w:rPr>
          <w:rFonts w:eastAsia="Calibri"/>
          <w:color w:val="000000"/>
          <w:sz w:val="26"/>
          <w:szCs w:val="26"/>
          <w:highlight w:val="green"/>
        </w:rPr>
        <w:t xml:space="preserve"> тыс. руб. (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0,91</w:t>
      </w:r>
      <w:r>
        <w:rPr>
          <w:rFonts w:eastAsia="Calibri"/>
          <w:color w:val="000000"/>
          <w:sz w:val="26"/>
          <w:szCs w:val="26"/>
          <w:highlight w:val="green"/>
        </w:rPr>
        <w:t>% к соответствующему периоду прошлого года);</w:t>
      </w:r>
    </w:p>
    <w:p>
      <w:pPr>
        <w:pStyle w:val="Normal"/>
        <w:widowControl w:val="false"/>
        <w:ind w:firstLine="680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>- доходы от приватизации муниципального имущества – 0 тыс. руб. (0% к соответствующему периоду прошлого года);</w:t>
      </w:r>
    </w:p>
    <w:p>
      <w:pPr>
        <w:pStyle w:val="Normal"/>
        <w:widowControl w:val="false"/>
        <w:ind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 xml:space="preserve">- прочие поступления неналоговых доходов от управления и распоряжения муниципальным имуществом —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68,71</w:t>
      </w:r>
      <w:r>
        <w:rPr>
          <w:rFonts w:eastAsia="Calibri"/>
          <w:color w:val="000000"/>
          <w:sz w:val="26"/>
          <w:szCs w:val="26"/>
          <w:highlight w:val="green"/>
        </w:rPr>
        <w:t xml:space="preserve"> тыс. руб. (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17,78</w:t>
      </w:r>
      <w:r>
        <w:rPr>
          <w:rFonts w:eastAsia="Calibri"/>
          <w:color w:val="000000"/>
          <w:sz w:val="26"/>
          <w:szCs w:val="26"/>
          <w:highlight w:val="green"/>
        </w:rPr>
        <w:t>% к соответствующему периоду прошлого года).</w:t>
      </w:r>
    </w:p>
    <w:p>
      <w:pPr>
        <w:pStyle w:val="Normal"/>
        <w:widowControl w:val="false"/>
        <w:ind w:firstLine="708"/>
        <w:jc w:val="both"/>
        <w:rPr>
          <w:highlight w:val="green"/>
        </w:rPr>
      </w:pPr>
      <w:r>
        <w:rPr>
          <w:rFonts w:eastAsia="Calibri"/>
          <w:b/>
          <w:i/>
          <w:color w:val="000000"/>
          <w:sz w:val="26"/>
          <w:szCs w:val="26"/>
          <w:highlight w:val="green"/>
          <w:u w:val="single"/>
        </w:rPr>
        <w:t>Земельные ресурсы</w:t>
      </w:r>
    </w:p>
    <w:p>
      <w:pPr>
        <w:pStyle w:val="Normal"/>
        <w:ind w:firstLine="680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 xml:space="preserve">Земельный фонд Ядринского района составляет 89751 га. Основную долю земельного фонда района занимают земли сельскохозяйственного назначения на  площади 60054 га. </w:t>
      </w:r>
    </w:p>
    <w:p>
      <w:pPr>
        <w:pStyle w:val="Normal"/>
        <w:ind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Одним из направлений деятельности по увеличению доходной базы бюджета от использования земельных ресурсов является работа по предоставлению  земельных участков гражданам и юридическим лицам в собственность, аренду, постоянное (бессрочное) пользование, безвозмездное срочное пользование, по предоставлению земельных участков гражданам и юридическим лицам под строительство капитальных объектов, по формированию земельных участков для их дальнейшей реализации посредством торгов (аукционов).</w:t>
      </w:r>
    </w:p>
    <w:p>
      <w:pPr>
        <w:pStyle w:val="Normal"/>
        <w:ind w:firstLine="708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 xml:space="preserve">На 01.04.2023 </w:t>
      </w:r>
      <w:r>
        <w:rPr>
          <w:color w:val="000000"/>
          <w:sz w:val="26"/>
          <w:szCs w:val="26"/>
          <w:highlight w:val="green"/>
          <w:lang w:eastAsia="zh-CN"/>
        </w:rPr>
        <w:t xml:space="preserve">предоставлен в собственность один земельный участок, </w:t>
      </w:r>
      <w:r>
        <w:rPr>
          <w:rFonts w:eastAsia="Calibri"/>
          <w:color w:val="000000"/>
          <w:sz w:val="26"/>
          <w:szCs w:val="26"/>
          <w:highlight w:val="green"/>
        </w:rPr>
        <w:t xml:space="preserve">поступило денежных средств в общей сумме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 xml:space="preserve">2,76 </w:t>
      </w:r>
      <w:r>
        <w:rPr>
          <w:rFonts w:eastAsia="Calibri"/>
          <w:color w:val="000000"/>
          <w:sz w:val="26"/>
          <w:szCs w:val="26"/>
          <w:highlight w:val="green"/>
        </w:rPr>
        <w:t>тыс.руб. (0,91% к соответствующему периоду прошлого года).</w:t>
      </w:r>
    </w:p>
    <w:p>
      <w:pPr>
        <w:pStyle w:val="Normal"/>
        <w:ind w:firstLine="708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 xml:space="preserve">В аренде находится 873 земельных участков общей площадью </w:t>
      </w:r>
      <w:r>
        <w:rPr>
          <w:color w:val="000000"/>
          <w:sz w:val="26"/>
          <w:szCs w:val="26"/>
          <w:highlight w:val="green"/>
          <w:lang w:eastAsia="zh-CN"/>
        </w:rPr>
        <w:t>16028,64</w:t>
      </w:r>
      <w:r>
        <w:rPr>
          <w:color w:val="000000"/>
          <w:sz w:val="26"/>
          <w:szCs w:val="26"/>
          <w:highlight w:val="green"/>
        </w:rPr>
        <w:t xml:space="preserve"> га. Доходы бюджета от аренды земельных участков составили </w:t>
      </w:r>
      <w:r>
        <w:rPr>
          <w:color w:val="000000"/>
          <w:sz w:val="26"/>
          <w:szCs w:val="26"/>
          <w:highlight w:val="green"/>
          <w:lang w:eastAsia="zh-CN"/>
        </w:rPr>
        <w:t>1716,66</w:t>
      </w:r>
      <w:r>
        <w:rPr>
          <w:color w:val="000000"/>
          <w:sz w:val="26"/>
          <w:szCs w:val="26"/>
          <w:highlight w:val="green"/>
        </w:rPr>
        <w:t xml:space="preserve"> </w:t>
      </w:r>
      <w:r>
        <w:rPr>
          <w:rFonts w:eastAsia="Calibri"/>
          <w:color w:val="000000"/>
          <w:sz w:val="26"/>
          <w:szCs w:val="26"/>
          <w:highlight w:val="green"/>
        </w:rPr>
        <w:t>тыс. руб. (86,92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7</w:t>
      </w:r>
      <w:r>
        <w:rPr>
          <w:rFonts w:eastAsia="Calibri"/>
          <w:color w:val="000000"/>
          <w:sz w:val="26"/>
          <w:szCs w:val="26"/>
          <w:highlight w:val="green"/>
        </w:rPr>
        <w:t>% к соответствующему периоду прошлого года)</w:t>
      </w:r>
      <w:r>
        <w:rPr>
          <w:color w:val="000000"/>
          <w:sz w:val="26"/>
          <w:szCs w:val="26"/>
          <w:highlight w:val="green"/>
        </w:rPr>
        <w:t>.</w:t>
      </w:r>
    </w:p>
    <w:p>
      <w:pPr>
        <w:pStyle w:val="Style29"/>
        <w:spacing w:before="0" w:after="0"/>
        <w:ind w:firstLine="680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ab/>
        <w:t xml:space="preserve">Всего на территории района насчитывается 16655 собственников земельных долей. </w:t>
      </w:r>
      <w:r>
        <w:rPr>
          <w:rFonts w:eastAsia="Calibri"/>
          <w:color w:val="000000"/>
          <w:sz w:val="26"/>
          <w:szCs w:val="26"/>
          <w:highlight w:val="green"/>
        </w:rPr>
        <w:t>По состоянию на 01.04.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2023</w:t>
      </w:r>
      <w:r>
        <w:rPr>
          <w:rFonts w:eastAsia="Calibri"/>
          <w:color w:val="000000"/>
          <w:sz w:val="26"/>
          <w:szCs w:val="26"/>
          <w:highlight w:val="green"/>
        </w:rPr>
        <w:t xml:space="preserve"> площадь выявленных невостребованных земельных долей составляет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15001</w:t>
      </w:r>
      <w:r>
        <w:rPr>
          <w:rFonts w:eastAsia="Calibri"/>
          <w:color w:val="000000"/>
          <w:sz w:val="26"/>
          <w:szCs w:val="26"/>
          <w:highlight w:val="green"/>
        </w:rPr>
        <w:t xml:space="preserve"> га (44% от общей площади земельных долей), которые 100% зарегистрированы в собственность муниципальных образований Ядринского района Чувашской Республики.</w:t>
      </w:r>
    </w:p>
    <w:p>
      <w:pPr>
        <w:pStyle w:val="Style29"/>
        <w:spacing w:before="0" w:after="0"/>
        <w:ind w:firstLine="680"/>
        <w:jc w:val="both"/>
        <w:rPr>
          <w:highlight w:val="green"/>
        </w:rPr>
      </w:pPr>
      <w:r>
        <w:rPr>
          <w:color w:val="000000"/>
          <w:spacing w:val="-8"/>
          <w:sz w:val="26"/>
          <w:szCs w:val="26"/>
          <w:highlight w:val="green"/>
        </w:rPr>
        <w:tab/>
        <w:t xml:space="preserve">На государственный кадастровый учет поставлены земельные участки, сформированные в счет муниципальных земельных долей, общей площадью </w:t>
      </w:r>
      <w:r>
        <w:rPr>
          <w:color w:val="000000"/>
          <w:spacing w:val="-8"/>
          <w:sz w:val="26"/>
          <w:szCs w:val="26"/>
          <w:highlight w:val="green"/>
          <w:lang w:eastAsia="zh-CN"/>
        </w:rPr>
        <w:t>13164,59</w:t>
      </w:r>
      <w:r>
        <w:rPr>
          <w:color w:val="000000"/>
          <w:spacing w:val="-8"/>
          <w:sz w:val="26"/>
          <w:szCs w:val="26"/>
          <w:highlight w:val="green"/>
        </w:rPr>
        <w:t xml:space="preserve"> га, что составляет 88% от зарегистрированных в муниципальную собственность земельных долей. Из них вовлечены в сельскохозяйственный оборот земельные участки площадью </w:t>
      </w:r>
      <w:r>
        <w:rPr>
          <w:color w:val="000000"/>
          <w:spacing w:val="-8"/>
          <w:sz w:val="26"/>
          <w:szCs w:val="26"/>
          <w:highlight w:val="green"/>
          <w:lang w:eastAsia="zh-CN"/>
        </w:rPr>
        <w:t>12118,03</w:t>
      </w:r>
      <w:r>
        <w:rPr>
          <w:color w:val="000000"/>
          <w:spacing w:val="-8"/>
          <w:sz w:val="26"/>
          <w:szCs w:val="26"/>
          <w:highlight w:val="green"/>
        </w:rPr>
        <w:t xml:space="preserve"> га (81% от зарегистрированных в муниципальную собственность): предоставлены в аренду </w:t>
      </w:r>
      <w:r>
        <w:rPr>
          <w:color w:val="000000"/>
          <w:spacing w:val="-8"/>
          <w:sz w:val="26"/>
          <w:szCs w:val="26"/>
          <w:highlight w:val="green"/>
          <w:lang w:eastAsia="zh-CN"/>
        </w:rPr>
        <w:t>11333,05</w:t>
      </w:r>
      <w:r>
        <w:rPr>
          <w:color w:val="000000"/>
          <w:spacing w:val="-8"/>
          <w:sz w:val="26"/>
          <w:szCs w:val="26"/>
          <w:highlight w:val="green"/>
        </w:rPr>
        <w:t xml:space="preserve"> га (годовой размер арендной платы составляет 4562,23 тыс. руб), в собственность </w:t>
      </w:r>
      <w:r>
        <w:rPr>
          <w:color w:val="000000"/>
          <w:spacing w:val="-8"/>
          <w:sz w:val="26"/>
          <w:szCs w:val="26"/>
          <w:highlight w:val="green"/>
          <w:lang w:eastAsia="zh-CN"/>
        </w:rPr>
        <w:t>784,98</w:t>
      </w:r>
      <w:r>
        <w:rPr>
          <w:color w:val="000000"/>
          <w:spacing w:val="-8"/>
          <w:sz w:val="26"/>
          <w:szCs w:val="26"/>
          <w:highlight w:val="green"/>
        </w:rPr>
        <w:t xml:space="preserve"> га (доход составил 4191,96 тыс. руб).</w:t>
      </w:r>
    </w:p>
    <w:p>
      <w:pPr>
        <w:pStyle w:val="Normal"/>
        <w:ind w:firstLine="680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 xml:space="preserve">В рамках реализации Закона Чувашской Республики от 01.04.2011 № 10 «О предоставлении земельных участков многодетным семьям в Чувашской Республике» на территории Ядринского района по состоянию на 01.04.2023 в Ядринском районе на учет для получения земельных участков поставлено </w:t>
      </w:r>
      <w:r>
        <w:rPr>
          <w:color w:val="000000"/>
          <w:sz w:val="26"/>
          <w:szCs w:val="26"/>
          <w:highlight w:val="green"/>
          <w:lang w:eastAsia="zh-CN"/>
        </w:rPr>
        <w:t xml:space="preserve">448 </w:t>
      </w:r>
      <w:r>
        <w:rPr>
          <w:color w:val="000000"/>
          <w:sz w:val="26"/>
          <w:szCs w:val="26"/>
          <w:highlight w:val="green"/>
        </w:rPr>
        <w:t xml:space="preserve">многодетных семей, в том числе: 250 – для индивидуального жилищного строительства (ИЖС), </w:t>
      </w:r>
      <w:r>
        <w:rPr>
          <w:color w:val="000000"/>
          <w:sz w:val="26"/>
          <w:szCs w:val="26"/>
          <w:highlight w:val="green"/>
          <w:lang w:eastAsia="zh-CN"/>
        </w:rPr>
        <w:t>81</w:t>
      </w:r>
      <w:r>
        <w:rPr>
          <w:color w:val="000000"/>
          <w:sz w:val="26"/>
          <w:szCs w:val="26"/>
          <w:highlight w:val="green"/>
        </w:rPr>
        <w:t xml:space="preserve"> – для ведения личного подсобного хозяйства (ЛПХ приусадебный), 90 - для ведения личного подсобного хозяйства (ЛПХ полевой), 27 – для дачного строительства. Сформировано и поставлено на государственный кадастровый учет </w:t>
      </w:r>
      <w:r>
        <w:rPr>
          <w:color w:val="000000"/>
          <w:sz w:val="26"/>
          <w:szCs w:val="26"/>
          <w:highlight w:val="green"/>
          <w:lang w:eastAsia="zh-CN"/>
        </w:rPr>
        <w:t>378</w:t>
      </w:r>
      <w:r>
        <w:rPr>
          <w:color w:val="000000"/>
          <w:sz w:val="26"/>
          <w:szCs w:val="26"/>
          <w:highlight w:val="green"/>
        </w:rPr>
        <w:t xml:space="preserve"> участков (84,4% от необходимого количества). Предоставлены земельные участки </w:t>
      </w:r>
      <w:r>
        <w:rPr>
          <w:color w:val="000000"/>
          <w:sz w:val="26"/>
          <w:szCs w:val="26"/>
          <w:highlight w:val="green"/>
          <w:lang w:eastAsia="zh-CN"/>
        </w:rPr>
        <w:t xml:space="preserve">371 многодетным </w:t>
      </w:r>
      <w:r>
        <w:rPr>
          <w:color w:val="000000"/>
          <w:sz w:val="26"/>
          <w:szCs w:val="26"/>
          <w:highlight w:val="green"/>
        </w:rPr>
        <w:t>семьям (</w:t>
      </w:r>
      <w:r>
        <w:rPr>
          <w:color w:val="000000"/>
          <w:sz w:val="26"/>
          <w:szCs w:val="26"/>
          <w:highlight w:val="green"/>
          <w:lang w:eastAsia="zh-CN"/>
        </w:rPr>
        <w:t>96,4</w:t>
      </w:r>
      <w:r>
        <w:rPr>
          <w:color w:val="000000"/>
          <w:sz w:val="26"/>
          <w:szCs w:val="26"/>
          <w:highlight w:val="green"/>
        </w:rPr>
        <w:t xml:space="preserve"> га): 207 – для ИЖС (21,7 га), 67 – для ЛПХ приусадебный (11,3 га), 70 – для ЛПХ полевой (59,4 га), 27 – для дачного строительства (4,0 га). Право собственности на предоставленные земельные участки зарегистрировали </w:t>
      </w:r>
      <w:r>
        <w:rPr>
          <w:color w:val="000000"/>
          <w:sz w:val="26"/>
          <w:szCs w:val="26"/>
          <w:highlight w:val="green"/>
          <w:lang w:eastAsia="zh-CN"/>
        </w:rPr>
        <w:t>371</w:t>
      </w:r>
      <w:r>
        <w:rPr>
          <w:color w:val="000000"/>
          <w:sz w:val="26"/>
          <w:szCs w:val="26"/>
          <w:highlight w:val="green"/>
        </w:rPr>
        <w:t xml:space="preserve"> семей (100% от общего количества семей, получивших земельные участки).</w:t>
      </w:r>
    </w:p>
    <w:p>
      <w:pPr>
        <w:pStyle w:val="Normal"/>
        <w:ind w:right="22" w:firstLine="53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В ходе «народной инвентаризации» выявлено 127 земельный участков общей площадью 38,5 га, из них 116 сформировано и поставлено на государственный кадастровый учет (35,8 га), по 11 земельных участков проведена работа по межеванию земельных участков и вовлечению в хозяйственный оборот, все 11 земельных участков площадью 3,0 га — реализованы через аукцион. Из выявленных 127 земельных участков, 70 земельных участков находятся в частной собственности, в отношении них проведены действия муниципального земельного и (или) государственного земельного надзора. А</w:t>
      </w:r>
      <w:r>
        <w:rPr>
          <w:rFonts w:eastAsia="Batang"/>
          <w:color w:val="000000"/>
          <w:sz w:val="26"/>
          <w:szCs w:val="26"/>
          <w:highlight w:val="green"/>
        </w:rPr>
        <w:t xml:space="preserve">ктивизирована работа по вовлечению в хозяйственный оборот 44 свободных земельных участков, </w:t>
      </w:r>
      <w:r>
        <w:rPr>
          <w:color w:val="000000"/>
          <w:sz w:val="26"/>
          <w:szCs w:val="26"/>
          <w:highlight w:val="green"/>
        </w:rPr>
        <w:t>собственники которых умерли и не имели наследников</w:t>
      </w:r>
      <w:r>
        <w:rPr>
          <w:rFonts w:eastAsia="Batang"/>
          <w:color w:val="000000"/>
          <w:sz w:val="26"/>
          <w:szCs w:val="26"/>
          <w:highlight w:val="green"/>
        </w:rPr>
        <w:t xml:space="preserve"> (в отношении 5 выявлены собственники (пользователи), а по 39 проведена работа по регистрации в муниципальную собственность в порядке наследования. П</w:t>
      </w:r>
      <w:r>
        <w:rPr>
          <w:color w:val="000000"/>
          <w:sz w:val="26"/>
          <w:szCs w:val="26"/>
          <w:highlight w:val="green"/>
        </w:rPr>
        <w:t xml:space="preserve">о 2 участкам (0,4 га) направлены предложения о включении в Единый информационный ресурс. Один из которых включен в ЕИР для строительства многоквартирного жилого дома на территории г. Ядрин. </w:t>
      </w:r>
    </w:p>
    <w:p>
      <w:pPr>
        <w:pStyle w:val="Normal"/>
        <w:ind w:hanging="0"/>
        <w:rPr>
          <w:b/>
          <w:b/>
          <w:bCs/>
          <w:color w:val="000000"/>
          <w:sz w:val="26"/>
          <w:szCs w:val="26"/>
          <w:highlight w:val="green"/>
        </w:rPr>
      </w:pPr>
      <w:r>
        <w:rPr>
          <w:b/>
          <w:bCs/>
          <w:color w:val="000000"/>
          <w:sz w:val="26"/>
          <w:szCs w:val="26"/>
          <w:highlight w:val="green"/>
        </w:rPr>
        <w:tab/>
        <w:t>Муниципальное имущество</w:t>
      </w:r>
    </w:p>
    <w:p>
      <w:pPr>
        <w:pStyle w:val="Normal"/>
        <w:widowControl w:val="false"/>
        <w:ind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>Учёт муниципального имущества осуществляется в соответствии с постановлением Ядринской районной администрации Чувашской Республики от 08.09.2011 № 557 «Об утверждении Положения об учете муниципального имущества Ядринского района Чувашской Республики и порядке ведения реестра муниципального имущества Ядринского района Чувашской Республики» путем формирования электронного банка данных о муниципальных объектах в программе «РЕЕСТР».</w:t>
      </w:r>
    </w:p>
    <w:p>
      <w:pPr>
        <w:pStyle w:val="Normal"/>
        <w:widowControl w:val="false"/>
        <w:ind w:firstLine="708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 xml:space="preserve">Муниципальное имущество закрепляется за пользователями по договорам оперативного управления, договорам аренды, безвозмездного пользования и прочим договорам, предусматривающим переход прав владения и пользования муниципальным имуществом. Всего передано в аренду 19 объектов недвижимого имущества общей площадью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>1216,46</w:t>
      </w:r>
      <w:r>
        <w:rPr>
          <w:rFonts w:eastAsia="Calibri"/>
          <w:color w:val="000000"/>
          <w:sz w:val="26"/>
          <w:szCs w:val="26"/>
          <w:highlight w:val="green"/>
        </w:rPr>
        <w:t xml:space="preserve"> кв.м. Доходы бюджета от аренды муниципального имущества составили </w:t>
      </w:r>
      <w:r>
        <w:rPr>
          <w:rFonts w:eastAsia="Calibri"/>
          <w:color w:val="000000"/>
          <w:sz w:val="26"/>
          <w:szCs w:val="26"/>
          <w:highlight w:val="green"/>
          <w:lang w:eastAsia="zh-CN"/>
        </w:rPr>
        <w:t xml:space="preserve">129,52 </w:t>
      </w:r>
      <w:r>
        <w:rPr>
          <w:rFonts w:eastAsia="Calibri"/>
          <w:color w:val="000000"/>
          <w:sz w:val="26"/>
          <w:szCs w:val="26"/>
          <w:highlight w:val="green"/>
        </w:rPr>
        <w:t>тыс.руб. (75,54% к соответствующему периоду прошлого года).</w:t>
      </w:r>
    </w:p>
    <w:p>
      <w:pPr>
        <w:pStyle w:val="Normal"/>
        <w:ind w:firstLine="708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>В прогнозный план (программу) приватизации на 2023 год включены 8 объектов недвижимого имущества, проводится работа по оценке объектов для последующего выставления на торги.</w:t>
      </w:r>
    </w:p>
    <w:p>
      <w:pPr>
        <w:pStyle w:val="Normal"/>
        <w:ind w:hanging="0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>В рамках акции «Народная инвентаризация» по выявлению неиспользуемых объектов недвижимого имущества, в том числе длительное время, а также находящихся в неудовлетворительном (разрушенном или полуразрушенном, аварийном) состоянии, объектов недвижимости, не вовлеченных в налоговый оборот, которые собственниками не поставлены на кадастровый учет и не зарегистрировано право собственности. По состоянию на 01.04.2023 года в районе выявлено 96 неиспользуемых объектов недвижимости, из них 96 объектов недвижимости (100%) вовлечены в хозяйственный оборот</w:t>
      </w:r>
    </w:p>
    <w:p>
      <w:pPr>
        <w:pStyle w:val="Normal"/>
        <w:ind w:hanging="0"/>
        <w:rPr>
          <w:highlight w:val="green"/>
        </w:rPr>
      </w:pPr>
      <w:r>
        <w:rPr>
          <w:b/>
          <w:bCs/>
          <w:color w:val="000000"/>
          <w:sz w:val="26"/>
          <w:szCs w:val="26"/>
          <w:highlight w:val="green"/>
        </w:rPr>
        <w:tab/>
        <w:t>Мероприятия, запланированные к исполнению в 2023 году: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Оптимизация состава муниципального имущества путем проведения проверок использования муниципального имущества.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Проведение мероприятий по списанию (или приватизации) выявленного неиспользуемого имущества, либо передаче его в аренду.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Реализация муниципального имущества в соответствии с утвержденным планом приватизации муниципального имущества на 2022 год.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Оформление прав пользования принятого в муниципальную собственность имущества.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Проведение претензионно-исковой работы по взысканию задолженности по арендной плате за пользование муниципальным имуществом и земельными участками;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Оформление прав пользования земельными участками в соответствии с действующим законодательством;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Проведение работы по актуализации сведений о правообладателях земельных участков;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Обеспечить земельными участками все поставленные на учет многодетные семьи.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color w:val="000000"/>
          <w:sz w:val="26"/>
          <w:szCs w:val="26"/>
          <w:highlight w:val="green"/>
        </w:rPr>
        <w:t>Завершить формирование земельных участков в счет невостребованных земельных долей, вовлечь в сельскохозяйственный оборот земельные участки, зарегистрированные в муниципальную собственность поселений.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rFonts w:eastAsia="Calibri"/>
          <w:color w:val="000000"/>
          <w:sz w:val="26"/>
          <w:szCs w:val="26"/>
          <w:highlight w:val="green"/>
        </w:rPr>
        <w:t xml:space="preserve">Проведение муниципального земельного контроля с целью выявления и пресечения нарушений в сфере земельного законодательства.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77" w:leader="none"/>
        </w:tabs>
        <w:ind w:left="0" w:firstLine="709"/>
        <w:jc w:val="both"/>
        <w:rPr>
          <w:highlight w:val="green"/>
        </w:rPr>
      </w:pPr>
      <w:r>
        <w:rPr>
          <w:b/>
          <w:sz w:val="26"/>
          <w:szCs w:val="26"/>
          <w:highlight w:val="green"/>
        </w:rPr>
        <w:t>Жилищные программы</w:t>
      </w:r>
    </w:p>
    <w:p>
      <w:pPr>
        <w:pStyle w:val="Normal"/>
        <w:ind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t>В рамках реализации государственной программы Чувашской Республики  в 2023 году по Ядринскому муниципального округа Чувашской Республики необходимо ввести 6 500 кв.м. за январь-апрель ввод жилья составил 2593 кв.м.</w:t>
      </w:r>
    </w:p>
    <w:p>
      <w:pPr>
        <w:pStyle w:val="Normal"/>
        <w:ind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t>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Ядринскому муниципальному округу Чувашской Республики в 2023 году необходимо предоставить социальные выплаты  7 молодым семьям, от общего количества молодых семей - 87, на что предусмотрены денежные средства в размере 5 366 157 рублей 88 копеек, в том числе за счет средств федерального бюджета — 3 063 181 рубль 64 копейка, республиканского бюджета Чувашской Республики — 1 613 976 рублей 24 копеек, Ядринского  муниципального округа Чувашской Республики – 689 000 рублей 00 копеек. Выданы свидетельства 7 молодым семьям, 1 молодой семье оплачен кредит при покупке квартиры.</w:t>
      </w:r>
    </w:p>
    <w:p>
      <w:pPr>
        <w:pStyle w:val="Normal"/>
        <w:ind w:firstLine="709"/>
        <w:jc w:val="both"/>
        <w:rPr>
          <w:sz w:val="26"/>
          <w:szCs w:val="26"/>
          <w:highlight w:val="green"/>
        </w:rPr>
      </w:pPr>
      <w:r>
        <w:rPr>
          <w:color w:val="000000"/>
          <w:sz w:val="26"/>
          <w:szCs w:val="26"/>
          <w:highlight w:val="green"/>
        </w:rPr>
        <w:t xml:space="preserve">Согласно Закону Чувашской Республики  от 17.10.2005 г. № 42 «О регулировании жилищных отношений» по Ядринскому муниципальному округу Чувашской Республики в 2023 году необходимо предусмотреть средства в размере </w:t>
      </w:r>
      <w:r>
        <w:rPr>
          <w:bCs/>
          <w:color w:val="000000"/>
          <w:sz w:val="26"/>
          <w:szCs w:val="26"/>
          <w:highlight w:val="green"/>
        </w:rPr>
        <w:t>16 529 205</w:t>
      </w:r>
      <w:r>
        <w:rPr>
          <w:color w:val="000000"/>
          <w:sz w:val="26"/>
          <w:szCs w:val="26"/>
          <w:highlight w:val="green"/>
        </w:rPr>
        <w:t xml:space="preserve"> рублей 00 копеек, за счет средств федерального бюджета – </w:t>
      </w:r>
      <w:r>
        <w:rPr>
          <w:bCs/>
          <w:color w:val="000000"/>
          <w:sz w:val="26"/>
          <w:szCs w:val="26"/>
          <w:highlight w:val="green"/>
        </w:rPr>
        <w:t>5 739 756</w:t>
      </w:r>
      <w:r>
        <w:rPr>
          <w:color w:val="000000"/>
          <w:sz w:val="26"/>
          <w:szCs w:val="26"/>
          <w:highlight w:val="green"/>
        </w:rPr>
        <w:t xml:space="preserve">рублей 00 копеек, за счет средств республиканского бюджета Чувашской Республики — </w:t>
      </w:r>
      <w:r>
        <w:rPr>
          <w:bCs/>
          <w:color w:val="000000"/>
          <w:sz w:val="26"/>
          <w:szCs w:val="26"/>
          <w:highlight w:val="green"/>
        </w:rPr>
        <w:t xml:space="preserve">10 789 449 </w:t>
      </w:r>
      <w:r>
        <w:rPr>
          <w:color w:val="000000"/>
          <w:sz w:val="26"/>
          <w:szCs w:val="26"/>
          <w:highlight w:val="green"/>
        </w:rPr>
        <w:t>рублей 00 копеек на обеспечение жильем 8 детей-сирот, предоставить жилищные сертификаты 2 детям-сиротам, предоставить 1 жилищный сертификат многодетной семье, имеющей пять и более детей.</w:t>
      </w:r>
    </w:p>
    <w:p>
      <w:pPr>
        <w:pStyle w:val="Normal"/>
        <w:ind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t>На проведение капитального ремонта жилых помещений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в республиканском бюджете Чувашской Республики Ядринскому муниципальному округу Чувашской Республики предусмотрены средства в размере  295 700 рублей.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green"/>
        </w:rPr>
        <w:t>СПРАВОЧНО: В рамках реализации подпрограммы «Комплексное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по Ядринскому муниципальному округу Чувашской Республики предусмотрены денежные средства в размере  464 264 рубля 84 копеек, в том числе за счет средств федерального бюджета — 423 500 рублей 00 копеек, за счет средств республиканского бюджета — 4 980 рублей 24 копеек, за счет средств Ядринского муниципального округу Чувашской Республики — 6 244 рубля 01 копейка, для предоставления социальной выплаты 1 семье.</w:t>
      </w:r>
      <w:r>
        <w:rPr>
          <w:sz w:val="26"/>
          <w:szCs w:val="26"/>
        </w:rPr>
        <w:t xml:space="preserve">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Экология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объекту «Расчистка участков русла реки Сура в районе г. Ядрин» в рамках федерального проекта «Сохранение уникальных водных объектов» начались работы. Подрядчик АО «Гидромеханизация» приступает к исполнению работ по расчистке озера Сергач в г. Ядрин.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Получено положительное заключено государственной экспертизы объекта «Строительство биологических очистных сооружений в г.Ядрин Чувашской Республики на 2400 куб.м /сут.»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Разрабатывается проект по расчистке русла реки Сура в районе пляжа в г. Ядрин в адрес ФГБВУ « Центррегионводхоз», г.Москва.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Разработаны ЗАО «Институт Чувашгипроводхоз»  расчеты вероятного вреда в случае аварии гидротехнических сооружений на 6 объектов.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Объявлен смотр-конкурс по благоустройству и озеленению населенных пунктов Ядринского муниципального  округа. </w:t>
      </w:r>
    </w:p>
    <w:p>
      <w:pPr>
        <w:pStyle w:val="Normal"/>
        <w:ind w:hanging="0"/>
        <w:jc w:val="both"/>
        <w:rPr>
          <w:shd w:fill="auto" w:val="clear"/>
        </w:rPr>
      </w:pPr>
      <w:r>
        <w:rPr>
          <w:b/>
          <w:color w:val="000000" w:themeColor="text1"/>
          <w:sz w:val="26"/>
          <w:szCs w:val="26"/>
          <w:shd w:fill="auto" w:val="clear"/>
        </w:rPr>
        <w:tab/>
        <w:t>Дорожное хозяйство</w:t>
      </w:r>
    </w:p>
    <w:p>
      <w:pPr>
        <w:pStyle w:val="Normal"/>
        <w:ind w:firstLine="708"/>
        <w:jc w:val="both"/>
        <w:rPr>
          <w:sz w:val="26"/>
          <w:szCs w:val="26"/>
          <w:highlight w:val="green"/>
        </w:rPr>
      </w:pPr>
      <w:r>
        <w:rPr>
          <w:b w:val="false"/>
          <w:bCs w:val="false"/>
          <w:color w:val="000000" w:themeColor="text1"/>
          <w:sz w:val="26"/>
          <w:szCs w:val="26"/>
          <w:shd w:fill="auto" w:val="clear"/>
        </w:rPr>
        <w:t>П</w:t>
      </w:r>
      <w:r>
        <w:rPr>
          <w:b w:val="false"/>
          <w:bCs w:val="false"/>
          <w:sz w:val="26"/>
          <w:shd w:fill="auto" w:val="clear"/>
        </w:rPr>
        <w:t>р</w:t>
      </w:r>
      <w:r>
        <w:rPr>
          <w:sz w:val="26"/>
          <w:shd w:fill="auto" w:val="clear"/>
        </w:rPr>
        <w:t>отяженность дор</w:t>
      </w:r>
      <w:r>
        <w:rPr>
          <w:sz w:val="26"/>
        </w:rPr>
        <w:t xml:space="preserve">ожной сети по Ядринскому </w:t>
      </w:r>
      <w:r>
        <w:rPr>
          <w:rFonts w:eastAsia="Times New Roman"/>
          <w:sz w:val="26"/>
          <w:lang w:eastAsia="ar-SA"/>
        </w:rPr>
        <w:t>муниципальному округу</w:t>
      </w:r>
      <w:r>
        <w:rPr>
          <w:sz w:val="26"/>
        </w:rPr>
        <w:t xml:space="preserve"> по состоянию на </w:t>
      </w:r>
      <w:r>
        <w:rPr>
          <w:color w:val="000000"/>
          <w:sz w:val="26"/>
        </w:rPr>
        <w:t>01.01.202</w:t>
      </w:r>
      <w:r>
        <w:rPr>
          <w:rFonts w:eastAsia="Times New Roman"/>
          <w:color w:val="000000"/>
          <w:sz w:val="26"/>
          <w:lang w:eastAsia="ar-SA"/>
        </w:rPr>
        <w:t>3</w:t>
      </w:r>
      <w:r>
        <w:rPr>
          <w:color w:val="000000"/>
          <w:sz w:val="26"/>
        </w:rPr>
        <w:t xml:space="preserve">г. составляет </w:t>
      </w:r>
      <w:r>
        <w:rPr>
          <w:color w:val="000000"/>
          <w:sz w:val="26"/>
          <w:u w:val="single"/>
        </w:rPr>
        <w:t>608,476 км</w:t>
      </w:r>
      <w:r>
        <w:rPr>
          <w:color w:val="000000"/>
          <w:sz w:val="26"/>
        </w:rPr>
        <w:t xml:space="preserve">, в том числе </w:t>
      </w:r>
      <w:r>
        <w:rPr>
          <w:color w:val="000000"/>
          <w:sz w:val="26"/>
          <w:u w:val="single"/>
        </w:rPr>
        <w:t>28,4 км</w:t>
      </w:r>
      <w:r>
        <w:rPr>
          <w:color w:val="000000"/>
          <w:sz w:val="26"/>
        </w:rPr>
        <w:t xml:space="preserve"> – федеральная автомобильная автодорога «М-7 Волга» (без учета длины съездов и развязок), </w:t>
      </w:r>
      <w:r>
        <w:rPr>
          <w:color w:val="000000"/>
          <w:sz w:val="26"/>
          <w:u w:val="single"/>
        </w:rPr>
        <w:t>101,376 км</w:t>
      </w:r>
      <w:r>
        <w:rPr>
          <w:color w:val="000000"/>
          <w:sz w:val="26"/>
        </w:rPr>
        <w:t xml:space="preserve"> – автодороги республиканского значения, </w:t>
      </w:r>
      <w:r>
        <w:rPr>
          <w:color w:val="000000"/>
          <w:sz w:val="26"/>
          <w:u w:val="single"/>
        </w:rPr>
        <w:t>478,</w:t>
      </w:r>
      <w:r>
        <w:rPr>
          <w:rFonts w:eastAsia="Times New Roman"/>
          <w:color w:val="000000"/>
          <w:sz w:val="26"/>
          <w:u w:val="single"/>
          <w:lang w:eastAsia="ar-SA"/>
        </w:rPr>
        <w:t>700</w:t>
      </w:r>
      <w:r>
        <w:rPr>
          <w:color w:val="000000"/>
          <w:sz w:val="26"/>
          <w:u w:val="single"/>
        </w:rPr>
        <w:t xml:space="preserve"> км</w:t>
      </w:r>
      <w:r>
        <w:rPr>
          <w:color w:val="000000"/>
          <w:sz w:val="26"/>
        </w:rPr>
        <w:t xml:space="preserve"> – местного значения (233,485 км – </w:t>
      </w:r>
      <w:r>
        <w:rPr>
          <w:rFonts w:eastAsia="Times New Roman"/>
          <w:color w:val="000000"/>
          <w:sz w:val="26"/>
          <w:lang w:eastAsia="ar-SA"/>
        </w:rPr>
        <w:t>вне населенных пунктов в границах муниципального округа</w:t>
      </w:r>
      <w:r>
        <w:rPr>
          <w:color w:val="000000"/>
          <w:sz w:val="26"/>
        </w:rPr>
        <w:t>, 245,</w:t>
      </w:r>
      <w:r>
        <w:rPr>
          <w:rFonts w:eastAsia="Times New Roman"/>
          <w:color w:val="000000"/>
          <w:sz w:val="26"/>
          <w:lang w:eastAsia="ar-SA"/>
        </w:rPr>
        <w:t>2</w:t>
      </w:r>
      <w:r>
        <w:rPr>
          <w:color w:val="000000"/>
          <w:sz w:val="26"/>
        </w:rPr>
        <w:t xml:space="preserve">- </w:t>
      </w:r>
      <w:r>
        <w:rPr>
          <w:rFonts w:eastAsia="Times New Roman"/>
          <w:color w:val="000000"/>
          <w:sz w:val="26"/>
          <w:lang w:eastAsia="ar-SA"/>
        </w:rPr>
        <w:t>в границах населенных пунктов</w:t>
      </w:r>
      <w:r>
        <w:rPr>
          <w:color w:val="000000"/>
          <w:sz w:val="26"/>
        </w:rPr>
        <w:t>). Из 478,</w:t>
      </w:r>
      <w:r>
        <w:rPr>
          <w:rFonts w:eastAsia="Times New Roman"/>
          <w:color w:val="000000"/>
          <w:sz w:val="26"/>
          <w:lang w:eastAsia="ar-SA"/>
        </w:rPr>
        <w:t>700</w:t>
      </w:r>
      <w:r>
        <w:rPr>
          <w:color w:val="000000"/>
          <w:sz w:val="26"/>
        </w:rPr>
        <w:t xml:space="preserve"> км автодорог местного значения 387,400 км (</w:t>
      </w:r>
      <w:r>
        <w:rPr>
          <w:rFonts w:eastAsia="Times New Roman"/>
          <w:color w:val="000000"/>
          <w:sz w:val="26"/>
          <w:lang w:eastAsia="ar-SA"/>
        </w:rPr>
        <w:t>80,93</w:t>
      </w:r>
      <w:r>
        <w:rPr>
          <w:color w:val="000000"/>
          <w:sz w:val="26"/>
        </w:rPr>
        <w:t xml:space="preserve">%) имеют твердое покрытие. </w:t>
      </w:r>
      <w:r>
        <w:rPr>
          <w:sz w:val="26"/>
        </w:rPr>
        <w:t xml:space="preserve">На дорожной сети эксплуатируется </w:t>
      </w:r>
      <w:r>
        <w:rPr>
          <w:sz w:val="26"/>
          <w:u w:val="single"/>
        </w:rPr>
        <w:t>22 моста</w:t>
      </w:r>
      <w:r>
        <w:rPr>
          <w:b/>
          <w:sz w:val="26"/>
          <w:u w:val="single"/>
        </w:rPr>
        <w:t>/</w:t>
      </w:r>
      <w:r>
        <w:rPr>
          <w:sz w:val="26"/>
          <w:u w:val="single"/>
        </w:rPr>
        <w:t>3030,72.м.</w:t>
      </w:r>
      <w:r>
        <w:rPr>
          <w:sz w:val="26"/>
        </w:rPr>
        <w:t xml:space="preserve"> (2шт/1671,9м - на федеральной автодороге (в том числе новый мост – 1242м), 9шт/ 892,02м -на республиканской сети, 11шт/466,8м на местной сети автодорог). 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</w:rPr>
        <w:t xml:space="preserve">По территории Ядринского района проходят 4 автомобильные дороги республиканского значения: автодорога «Сура» протяженностью 28,89 км, автодорога «Никольское-Ядрин-Калинино» протяженностью 40,884 км, автодорога «Ядрин-Канаш» протяженностью 12,002 км, автодорога «Ядрин-Николаевское-Новые Атаи» протяженностью 19,6 км. Указанные автодороги </w:t>
      </w:r>
      <w:r>
        <w:rPr>
          <w:bCs/>
          <w:sz w:val="26"/>
          <w:szCs w:val="26"/>
        </w:rPr>
        <w:t xml:space="preserve">общей протяженностью 101,376км </w:t>
      </w:r>
      <w:r>
        <w:rPr>
          <w:sz w:val="26"/>
        </w:rPr>
        <w:t xml:space="preserve">содержит ООО «ДорТех», балансодержателем является КУ «Чувашупрдор» Минтранса Чувашии. </w:t>
      </w:r>
      <w:r>
        <w:rPr>
          <w:bCs/>
          <w:sz w:val="26"/>
          <w:szCs w:val="26"/>
        </w:rPr>
        <w:t>Работы финансируются за счет средств республиканского бюджета Чувашской Республики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bCs/>
          <w:sz w:val="26"/>
          <w:szCs w:val="26"/>
        </w:rPr>
        <w:t xml:space="preserve">Участок автомобильной дороги </w:t>
      </w:r>
      <w:r>
        <w:rPr>
          <w:bCs/>
          <w:sz w:val="26"/>
          <w:szCs w:val="26"/>
          <w:u w:val="single"/>
        </w:rPr>
        <w:t>федерального значения</w:t>
      </w:r>
      <w:r>
        <w:rPr>
          <w:bCs/>
          <w:sz w:val="26"/>
          <w:szCs w:val="26"/>
        </w:rPr>
        <w:t xml:space="preserve"> М-7 «Волга» в границах Ядринского района (км 573 – км 601) обслуживает ООО «Воддорстрой» Работы финансируются за счет средств федерального бюджета, Заказчиком работ является </w:t>
      </w:r>
      <w:r>
        <w:rPr>
          <w:sz w:val="26"/>
          <w:szCs w:val="26"/>
        </w:rPr>
        <w:t>ФКУ Упрдор «Волго-Вятскуправтодор».</w:t>
      </w:r>
    </w:p>
    <w:p>
      <w:pPr>
        <w:pStyle w:val="Normal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Содержание автомобильных дорог </w:t>
      </w:r>
      <w:r>
        <w:rPr>
          <w:rFonts w:eastAsia="Times New Roman"/>
          <w:sz w:val="26"/>
          <w:szCs w:val="26"/>
          <w:u w:val="single"/>
          <w:lang w:eastAsia="ar-SA"/>
        </w:rPr>
        <w:t>вне населенных пунктов в границах муниципального округа</w:t>
      </w:r>
      <w:r>
        <w:rPr>
          <w:sz w:val="26"/>
          <w:szCs w:val="26"/>
        </w:rPr>
        <w:t xml:space="preserve"> осуществляют следующие подрядные организации: 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ООО «Перспектива», – содержит 109,646 км автодорог;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ООО «Строй Сити»– содержит 51,061 км автодорог;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ООО «Сурстройсервис»– содержит 61,2 км автодорог;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ООО «Автодорсервис»– содержит 36,114 км автодорог. 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bCs/>
          <w:sz w:val="26"/>
          <w:szCs w:val="26"/>
        </w:rPr>
        <w:t xml:space="preserve">Улично-дорожную сеть по г. Ядрин, </w:t>
      </w:r>
      <w:r>
        <w:rPr>
          <w:rFonts w:eastAsia="Times New Roman"/>
          <w:bCs/>
          <w:sz w:val="26"/>
          <w:szCs w:val="26"/>
          <w:lang w:eastAsia="ar-SA"/>
        </w:rPr>
        <w:t>тротуары</w:t>
      </w:r>
      <w:r>
        <w:rPr>
          <w:bCs/>
          <w:sz w:val="26"/>
          <w:szCs w:val="26"/>
        </w:rPr>
        <w:t xml:space="preserve"> на основании заключенных  Муниципальных Контрактов в зимний период обслуживает ООО «Озон».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bCs/>
          <w:sz w:val="26"/>
          <w:szCs w:val="26"/>
        </w:rPr>
        <w:t>Содержание автодорог в границах населенных пунктов обеспечивается посредством заключения договоров на их содержание по территориальным отделам.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На содержание автодорог</w:t>
      </w:r>
      <w:r>
        <w:rPr>
          <w:sz w:val="26"/>
          <w:szCs w:val="26"/>
          <w:u w:val="single"/>
        </w:rPr>
        <w:t xml:space="preserve"> в границах населенных пунктов в 2023г </w:t>
      </w:r>
      <w:r>
        <w:rPr>
          <w:sz w:val="26"/>
          <w:szCs w:val="26"/>
        </w:rPr>
        <w:t xml:space="preserve">планируется выделить </w:t>
      </w:r>
      <w:r>
        <w:rPr>
          <w:rFonts w:eastAsia="Times New Roman"/>
          <w:sz w:val="26"/>
          <w:szCs w:val="26"/>
          <w:lang w:eastAsia="ar-SA"/>
        </w:rPr>
        <w:t>3887,889</w:t>
      </w:r>
      <w:r>
        <w:rPr>
          <w:sz w:val="26"/>
          <w:szCs w:val="26"/>
        </w:rPr>
        <w:t xml:space="preserve"> тыс. рублей (3</w:t>
      </w:r>
      <w:r>
        <w:rPr>
          <w:rFonts w:eastAsia="Times New Roman"/>
          <w:sz w:val="26"/>
          <w:szCs w:val="26"/>
          <w:lang w:eastAsia="ar-SA"/>
        </w:rPr>
        <w:t>499</w:t>
      </w:r>
      <w:r>
        <w:rPr>
          <w:sz w:val="26"/>
          <w:szCs w:val="26"/>
        </w:rPr>
        <w:t xml:space="preserve">,1 тыс. руб. (респ.) + </w:t>
      </w:r>
      <w:r>
        <w:rPr>
          <w:rFonts w:eastAsia="Times New Roman"/>
          <w:sz w:val="26"/>
          <w:szCs w:val="26"/>
          <w:lang w:eastAsia="ar-SA"/>
        </w:rPr>
        <w:t>388,789</w:t>
      </w:r>
      <w:r>
        <w:rPr>
          <w:sz w:val="26"/>
          <w:szCs w:val="26"/>
        </w:rPr>
        <w:t xml:space="preserve"> тыс. руб. (местн.)).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На ремонт автодорог</w:t>
      </w:r>
      <w:r>
        <w:rPr>
          <w:sz w:val="26"/>
          <w:szCs w:val="26"/>
          <w:u w:val="single"/>
        </w:rPr>
        <w:t xml:space="preserve"> в границах населенных пунктов</w:t>
      </w:r>
      <w:r>
        <w:rPr>
          <w:sz w:val="26"/>
          <w:szCs w:val="26"/>
        </w:rPr>
        <w:t xml:space="preserve"> в 2023г планируется выделить </w:t>
      </w:r>
      <w:r>
        <w:rPr>
          <w:rFonts w:eastAsia="Times New Roman"/>
          <w:sz w:val="26"/>
          <w:szCs w:val="26"/>
          <w:lang w:eastAsia="ar-SA"/>
        </w:rPr>
        <w:t>8 278,24</w:t>
      </w:r>
      <w:r>
        <w:rPr>
          <w:sz w:val="26"/>
          <w:szCs w:val="26"/>
        </w:rPr>
        <w:t xml:space="preserve"> тыс. Рублей (</w:t>
      </w:r>
      <w:r>
        <w:rPr>
          <w:rFonts w:eastAsia="Times New Roman"/>
          <w:sz w:val="26"/>
          <w:szCs w:val="26"/>
          <w:lang w:eastAsia="ar-SA"/>
        </w:rPr>
        <w:t>7449,7</w:t>
      </w:r>
      <w:r>
        <w:rPr>
          <w:sz w:val="26"/>
          <w:szCs w:val="26"/>
        </w:rPr>
        <w:t xml:space="preserve"> тыс. руб. (респ.) + </w:t>
      </w:r>
      <w:r>
        <w:rPr>
          <w:rFonts w:eastAsia="Times New Roman"/>
          <w:sz w:val="26"/>
          <w:szCs w:val="26"/>
          <w:lang w:eastAsia="ar-SA"/>
        </w:rPr>
        <w:t>828,538</w:t>
      </w:r>
      <w:r>
        <w:rPr>
          <w:sz w:val="26"/>
          <w:szCs w:val="26"/>
        </w:rPr>
        <w:t xml:space="preserve"> тыс. руб. (местн.)).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На содержание автодорог</w:t>
      </w:r>
      <w:r>
        <w:rPr>
          <w:sz w:val="26"/>
          <w:szCs w:val="26"/>
          <w:u w:val="single"/>
        </w:rPr>
        <w:t xml:space="preserve"> вне границ населенных пунктов в 2023г </w:t>
      </w:r>
      <w:r>
        <w:rPr>
          <w:sz w:val="26"/>
          <w:szCs w:val="26"/>
        </w:rPr>
        <w:t xml:space="preserve">планируется выделить </w:t>
      </w:r>
      <w:r>
        <w:rPr>
          <w:rFonts w:eastAsia="Times New Roman"/>
          <w:sz w:val="26"/>
          <w:szCs w:val="26"/>
          <w:lang w:eastAsia="ar-SA"/>
        </w:rPr>
        <w:t>23 325,744</w:t>
      </w:r>
      <w:r>
        <w:rPr>
          <w:sz w:val="26"/>
          <w:szCs w:val="26"/>
        </w:rPr>
        <w:t xml:space="preserve"> тыс. рублей (21 926,200 тыс. руб. (респ.) + </w:t>
      </w:r>
      <w:r>
        <w:rPr>
          <w:rFonts w:eastAsia="Times New Roman"/>
          <w:sz w:val="26"/>
          <w:szCs w:val="26"/>
          <w:lang w:eastAsia="ar-SA"/>
        </w:rPr>
        <w:t>1 399,544</w:t>
      </w:r>
      <w:r>
        <w:rPr>
          <w:sz w:val="26"/>
          <w:szCs w:val="26"/>
        </w:rPr>
        <w:t xml:space="preserve"> тыс. руб. (местн.)).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На ремонт автодорог</w:t>
      </w:r>
      <w:r>
        <w:rPr>
          <w:sz w:val="26"/>
          <w:szCs w:val="26"/>
          <w:u w:val="single"/>
        </w:rPr>
        <w:t xml:space="preserve"> вне границ населенных пунктов в 2023г </w:t>
      </w:r>
      <w:r>
        <w:rPr>
          <w:sz w:val="26"/>
          <w:szCs w:val="26"/>
        </w:rPr>
        <w:t>планируется выделить 27552,000 тыс. рублей (24</w:t>
      </w:r>
      <w:r>
        <w:rPr>
          <w:rFonts w:eastAsia="Times New Roman"/>
          <w:sz w:val="26"/>
          <w:szCs w:val="26"/>
          <w:lang w:eastAsia="ar-SA"/>
        </w:rPr>
        <w:t>796</w:t>
      </w:r>
      <w:r>
        <w:rPr>
          <w:sz w:val="26"/>
          <w:szCs w:val="26"/>
        </w:rPr>
        <w:t>,8 тыс. руб. (респ.) + 27</w:t>
      </w:r>
      <w:r>
        <w:rPr>
          <w:rFonts w:eastAsia="Times New Roman"/>
          <w:sz w:val="26"/>
          <w:szCs w:val="26"/>
          <w:lang w:eastAsia="ar-SA"/>
        </w:rPr>
        <w:t>55,200</w:t>
      </w:r>
      <w:r>
        <w:rPr>
          <w:sz w:val="26"/>
          <w:szCs w:val="26"/>
        </w:rPr>
        <w:t xml:space="preserve"> тыс. руб. (местн.)).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На ремонт </w:t>
      </w:r>
      <w:r>
        <w:rPr>
          <w:sz w:val="26"/>
          <w:szCs w:val="26"/>
          <w:u w:val="single"/>
        </w:rPr>
        <w:t xml:space="preserve">дворовых территорий и проездов к МКД </w:t>
      </w:r>
      <w:r>
        <w:rPr>
          <w:sz w:val="26"/>
          <w:szCs w:val="26"/>
          <w:u w:val="none"/>
        </w:rPr>
        <w:t xml:space="preserve"> в г. Ядрин </w:t>
      </w:r>
      <w:r>
        <w:rPr>
          <w:sz w:val="26"/>
          <w:szCs w:val="26"/>
        </w:rPr>
        <w:t xml:space="preserve">планируется выделить 1 </w:t>
      </w:r>
      <w:r>
        <w:rPr>
          <w:rFonts w:eastAsia="Times New Roman"/>
          <w:sz w:val="26"/>
          <w:szCs w:val="26"/>
          <w:lang w:eastAsia="ar-SA"/>
        </w:rPr>
        <w:t>829,255</w:t>
      </w:r>
      <w:r>
        <w:rPr>
          <w:sz w:val="26"/>
          <w:szCs w:val="26"/>
        </w:rPr>
        <w:t xml:space="preserve"> тыс. рублей (1 </w:t>
      </w:r>
      <w:r>
        <w:rPr>
          <w:rFonts w:eastAsia="Times New Roman"/>
          <w:sz w:val="26"/>
          <w:szCs w:val="26"/>
          <w:lang w:eastAsia="ar-SA"/>
        </w:rPr>
        <w:t>71</w:t>
      </w:r>
      <w:r>
        <w:rPr>
          <w:sz w:val="26"/>
          <w:szCs w:val="26"/>
        </w:rPr>
        <w:t xml:space="preserve">9,5 тыс. руб. (респ.) + </w:t>
      </w:r>
      <w:r>
        <w:rPr>
          <w:rFonts w:eastAsia="Times New Roman"/>
          <w:sz w:val="26"/>
          <w:szCs w:val="26"/>
          <w:lang w:eastAsia="ar-SA"/>
        </w:rPr>
        <w:t>109,7553</w:t>
      </w:r>
      <w:r>
        <w:rPr>
          <w:sz w:val="26"/>
          <w:szCs w:val="26"/>
        </w:rPr>
        <w:t xml:space="preserve"> тыс. руб. (местн.)).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Всего на осуществление дорожной деятельности по местной сети автодорог в 2023г предусмотрены финансовые средства в размере </w:t>
      </w:r>
      <w:r>
        <w:rPr>
          <w:rFonts w:eastAsia="Times New Roman"/>
          <w:sz w:val="26"/>
          <w:szCs w:val="26"/>
          <w:u w:val="single"/>
          <w:lang w:eastAsia="ar-SA"/>
        </w:rPr>
        <w:t>64873,127</w:t>
      </w:r>
      <w:r>
        <w:rPr>
          <w:sz w:val="26"/>
          <w:szCs w:val="26"/>
        </w:rPr>
        <w:t xml:space="preserve"> тыс. рублей Запланировано отремонтировать 1 дворовую территорию </w:t>
      </w:r>
      <w:r>
        <w:rPr>
          <w:rFonts w:eastAsia="Times New Roman"/>
          <w:sz w:val="26"/>
          <w:szCs w:val="26"/>
          <w:lang w:eastAsia="ar-SA"/>
        </w:rPr>
        <w:t>3,03</w:t>
      </w:r>
      <w:r>
        <w:rPr>
          <w:sz w:val="26"/>
          <w:szCs w:val="26"/>
        </w:rPr>
        <w:t xml:space="preserve"> км автодорог </w:t>
      </w:r>
      <w:r>
        <w:rPr>
          <w:rFonts w:eastAsia="Times New Roman"/>
          <w:sz w:val="26"/>
          <w:szCs w:val="26"/>
          <w:lang w:eastAsia="ar-SA"/>
        </w:rPr>
        <w:t>в границах населенных пунктов</w:t>
      </w:r>
      <w:r>
        <w:rPr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eastAsia="ar-SA"/>
        </w:rPr>
        <w:t>4,2</w:t>
      </w:r>
      <w:r>
        <w:rPr>
          <w:sz w:val="26"/>
          <w:szCs w:val="26"/>
        </w:rPr>
        <w:t xml:space="preserve"> км автодорог </w:t>
      </w:r>
      <w:r>
        <w:rPr>
          <w:rFonts w:eastAsia="Times New Roman"/>
          <w:sz w:val="26"/>
          <w:szCs w:val="26"/>
          <w:lang w:eastAsia="ar-SA"/>
        </w:rPr>
        <w:t>вне населенных пунктов</w:t>
      </w:r>
      <w:r>
        <w:rPr>
          <w:sz w:val="26"/>
          <w:szCs w:val="26"/>
        </w:rPr>
        <w:t xml:space="preserve">. 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rFonts w:eastAsia="Times New Roman"/>
          <w:sz w:val="26"/>
          <w:szCs w:val="26"/>
          <w:lang w:eastAsia="ar-SA"/>
        </w:rPr>
        <w:t xml:space="preserve">Основные работы на местной сети автодорог </w:t>
      </w:r>
      <w:r>
        <w:rPr>
          <w:sz w:val="26"/>
          <w:szCs w:val="26"/>
        </w:rPr>
        <w:t xml:space="preserve">выполнялись работы по статье «Содержание дорог» по работам зимнего и весеннего цикла. Всего по местной сети по содержанию за 6 мес 2023г выполнено работ на сумму </w:t>
      </w:r>
      <w:r>
        <w:rPr>
          <w:rFonts w:eastAsia="Times New Roman"/>
          <w:color w:val="000000"/>
          <w:sz w:val="26"/>
          <w:szCs w:val="26"/>
          <w:lang w:eastAsia="ar-SA"/>
        </w:rPr>
        <w:t>1729,634 тыс.</w:t>
      </w:r>
      <w:r>
        <w:rPr>
          <w:sz w:val="26"/>
          <w:szCs w:val="26"/>
        </w:rPr>
        <w:t xml:space="preserve"> рублей.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На местной сети автодорог ямочный ремонт начат с 28 марта 2023г.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rFonts w:eastAsia="Times New Roman"/>
          <w:sz w:val="26"/>
          <w:szCs w:val="26"/>
          <w:lang w:eastAsia="ar-SA"/>
        </w:rPr>
        <w:t>На сети автодорог местного значения завершены работы по ремонту участка «Никольское-Ядрин-Калинино»-С.Тиньгеши-В.Багиши» протяженностью 2 км (подрядчик ООО «СтройКом»), устраняются замечания по ремонту автодорог «Ядрин-Николаевское-Н.Атаи»-Верхние Ачаки (ООО «ДРСУ») и «Сура-д. Торхлово-Тукасы» (ООО «СтоДорог») по ранее выполненным за счет лимитов 2023г работам.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rFonts w:eastAsia="Times New Roman"/>
          <w:sz w:val="26"/>
          <w:szCs w:val="26"/>
          <w:lang w:eastAsia="ar-SA"/>
        </w:rPr>
        <w:t>По автодорогам местного значения в границах населенных пунктов завершены работы по ремонту участков автодорог по ул Зеленая с. Б. Шемердяны, ул. Зеленая д. Поченары, ул. Озерная д. Персирланы (подрядчик ООО «Сурстройсервис»), а также по ул 30 лет Победы, д. Салугино, ул. Полевая д. Ванькино — подрядчик ООО «Перспектива». Указанные работы выполнены в щебеночном исполнении, стоимость работ составляет 2 701,205 тыс. рублей.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rFonts w:eastAsia="Times New Roman"/>
          <w:sz w:val="26"/>
          <w:szCs w:val="26"/>
          <w:lang w:eastAsia="ar-SA"/>
        </w:rPr>
        <w:t>Заершены работы по ремонту дворовых территорий многоквартирынх домов по ул. Чапаева 16, 18. Подрядчик ООО «Ремдорстрой», лимит средств на 2023г составляет 1829,255 тыс. рублей, работы выполнены за счет лимитов 2023-24гг.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По автодороге федерального значения – продолжаются работы по строительству нового (второго)  моста через р. Сура на км 582 автодороги М-7 «Волга». Подрядная организация определена по итогам конкурсного отбора – АО «Дороги и Мосты» (АО «ДиМ»), стоимость объекта по Государственному Контракту, заключенному в 2021г, составляет более 14,0 млрд. рублей, финансирование строительства объекта предусмотрено на 4 года, срок завершения работ – до 30 ноября 2024г.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По автодорогам республиканского значения:</w:t>
      </w:r>
    </w:p>
    <w:p>
      <w:pPr>
        <w:pStyle w:val="Normal"/>
        <w:ind w:left="0" w:right="0" w:firstLine="54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  <w:lang w:eastAsia="ar-SA"/>
        </w:rPr>
        <w:t>Ведутся</w:t>
      </w:r>
      <w:r>
        <w:rPr>
          <w:sz w:val="26"/>
          <w:szCs w:val="26"/>
        </w:rPr>
        <w:t xml:space="preserve"> работы по капитальному ремонту автодороги «Никольское-Ядрин-Калинино» на участке км 21+372 – км 31+660 общей протяженностью 10,3 км. Подрядчик определен (ООО «Автодор»), стоимость объекта по Государственному Контракту, заключенному в 2021г, составля</w:t>
      </w:r>
      <w:r>
        <w:rPr>
          <w:rFonts w:eastAsia="Times New Roman"/>
          <w:sz w:val="26"/>
          <w:szCs w:val="26"/>
          <w:lang w:eastAsia="ar-SA"/>
        </w:rPr>
        <w:t>л</w:t>
      </w:r>
      <w:r>
        <w:rPr>
          <w:sz w:val="26"/>
          <w:szCs w:val="26"/>
        </w:rPr>
        <w:t xml:space="preserve"> 456,8 млн. </w:t>
      </w:r>
      <w:r>
        <w:rPr>
          <w:rFonts w:eastAsia="Times New Roman"/>
          <w:sz w:val="26"/>
          <w:szCs w:val="26"/>
          <w:lang w:eastAsia="ar-SA"/>
        </w:rPr>
        <w:t>р</w:t>
      </w:r>
      <w:r>
        <w:rPr>
          <w:sz w:val="26"/>
          <w:szCs w:val="26"/>
        </w:rPr>
        <w:t>ублей (в связи с удорожанием материалов выполнен пересчет стоимости). Финансирование объекта было предусмотрено на 3 года, срок завершения работ - до 3</w:t>
      </w:r>
      <w:r>
        <w:rPr>
          <w:rFonts w:eastAsia="Times New Roman"/>
          <w:sz w:val="26"/>
          <w:szCs w:val="26"/>
          <w:lang w:eastAsia="ar-SA"/>
        </w:rPr>
        <w:t>0</w:t>
      </w:r>
      <w:r>
        <w:rPr>
          <w:sz w:val="26"/>
          <w:szCs w:val="26"/>
        </w:rPr>
        <w:t xml:space="preserve"> октября 2023г.</w:t>
      </w:r>
    </w:p>
    <w:p>
      <w:pPr>
        <w:pStyle w:val="Normal"/>
        <w:ind w:hanging="0"/>
        <w:jc w:val="both"/>
        <w:rPr/>
      </w:pPr>
      <w:r>
        <w:rPr>
          <w:b/>
          <w:color w:val="000000" w:themeColor="text1"/>
          <w:sz w:val="26"/>
          <w:szCs w:val="26"/>
        </w:rPr>
        <w:tab/>
        <w:t xml:space="preserve">Образование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sz w:val="26"/>
          <w:szCs w:val="26"/>
        </w:rPr>
        <w:t xml:space="preserve">Система дошкольного образования представлена 6 дошкольными образовательными организациями и 14 дошкольными группами в 9 общеобразовательных организациях. В целом дошкольным образованием охвачено 785 детей с 1,5 лет, из них в дошкольных образовательных организациях - 641 ребенок, в школах – 144 ребенка. На учете с 0 до 2-х лет на 1 июня 2023 года состоит  31 ребенок.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Средняя заработная плата педагогических работников дошкольных образовательных организаций за январь-май с учетом отпускных - составила 34417,09 руб.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муниципалитете функционируют 13 общеобразовательных организаций, из них: 9 средних школ, 3 основных школ, 1 - начальная школа, в которых обучается  в 2022-2023 учебном  году 2466 учеников в 170 классах-комплектах, в 1-м классе – 210 учащихся.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школы, дошкольные образовательные учреждения подключены к сети «Интернет», имеют обновляемые сайты.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педагогических работников, работающих в общеобразовательных организациях составляет 229 человек, в том числе 200 учителей. В дошкольных образовательных организациях работают 67 педагогов, в учреждениях дополнительного образования – 28. Высшую квалификационную категорию имеют 27%. Доля молодых педагогов в возрасте до 35 лет – 8%. Средний возраст педагогов в ОУ – 50 лет, в ДОУ – 46 лет. Педагоги пенсионного возраста составляют 36 %.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январь-май 2023 с учетом отпускных средняя заработная плата педагогических работников общеобразовательных учреждений 37727,38 руб.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районе 3 учреждения дополнительного образования (МБУ ДО «Ядринский районный Дом детского творчества», МБУ ДО «Ядринская районная детская школа искусств им. А.В. Асламаса, МАО ДО Детско-юношеская спортивная школа «Физкультурно-спортивный комплекс «Присурье»).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январь-май с учетом отпускных средняя заработная плата педагогических работников учреждений дополнительного образования детей составила   34475,20  руб.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Горячее двухразовое питание организовано во всех школах. Все учащиеся 1-4 классов школ района охвачены бесплатным одноразовым горячим питанием.79 учащихся из многодетных малоимущих семей  обеспечены двухразовым горячим питанием.</w:t>
      </w:r>
    </w:p>
    <w:p>
      <w:pPr>
        <w:pStyle w:val="Normal"/>
        <w:ind w:firstLine="709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Проблемные вопросы и рекомендации по их решению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проблемой в развитии инфраструктуры муниципальной системы образования являются: недостаточный приток молодых педагогов в систему образования района, уменьшение количества детей в сельской местности. </w:t>
      </w:r>
    </w:p>
    <w:p>
      <w:pPr>
        <w:pStyle w:val="Normal"/>
        <w:ind w:firstLine="709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Меры по решению основной проблемы: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постановлений Ядринской районной администрации №425 от 19.08.2016 г. «О внесении изменений и дополнений в постановление Ядринской районной администрации Чувашской Республики от 30.09.2013 № 715» и №507 от 09.07.2018 «О внесении изменений в постановление Ядринской районной администрации Чувашской Республики от 30.09.2013 № 715» педагогическим работникам, которые являются молодыми специалистами, в 5 раз увеличен коэффициент к должностному окладу до наступления стажа 3 года. Кроме того, молодым специалистам, принятым на работу с 1 июня 2016 года, однократно выплачивается единовременное денежное пособие в размере 10 окладов.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программой Ядринского района Чувашской Республики «Развитие образования» ежегодно в течение 5 лет в качестве материальной поддержки предусматривается денежная выплата молодым специалистам в сумме 20 000 рублей.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педагогическими кадрами на основании договора с Чувашским государственным педагогическим университетом им. И.Я. Яковлева ежегодно на обучение направляются выпускники общеобразовательных школ района. С ними заключаются четырехсторонние договоры, предусматривающие выплату стипендии из бюджета района в сумме 1 тыс. рублей в течение двух последних лет обучения в вузе. </w:t>
      </w:r>
    </w:p>
    <w:p>
      <w:pPr>
        <w:pStyle w:val="Normal"/>
        <w:ind w:firstLine="709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Планы на 2023 гг.: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1. Разработка ПСД на капремонт МБОУ «Советская СОШ».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2.Реорганизация МБДОУ «Детский сад «Золотой ключик».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3.Замена окон в МБОУ «Кукшумская ООШ».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4.Установка дополнительного видеонаблюдения в МАДОУ «Детский сад «Аленушка» и МБДОУ «Детский сад «Пукане»</w:t>
      </w:r>
    </w:p>
    <w:p>
      <w:pPr>
        <w:pStyle w:val="Normal"/>
        <w:ind w:hanging="0"/>
        <w:jc w:val="both"/>
        <w:rPr/>
      </w:pPr>
      <w:r>
        <w:rPr>
          <w:b/>
          <w:bCs/>
          <w:sz w:val="26"/>
          <w:szCs w:val="26"/>
        </w:rPr>
        <w:tab/>
        <w:t>Молодежная политика</w:t>
      </w:r>
    </w:p>
    <w:p>
      <w:pPr>
        <w:pStyle w:val="Normal"/>
        <w:ind w:firstLine="420"/>
        <w:jc w:val="both"/>
        <w:rPr>
          <w:sz w:val="24"/>
        </w:rPr>
      </w:pPr>
      <w:r>
        <w:rPr>
          <w:sz w:val="26"/>
          <w:szCs w:val="26"/>
        </w:rPr>
        <w:tab/>
      </w:r>
      <w:r>
        <w:rPr>
          <w:sz w:val="24"/>
        </w:rPr>
        <w:t>В Ядринском муниципальном округе по состоянию на 1 января 2023 года всего проживает 4571 молодой человек в возрасте от 14 до 35 лет, что составляет 19,95 % от общего числа жителей Ядринского муниципального округа (22 тысячи 911 человек).</w:t>
      </w:r>
    </w:p>
    <w:p>
      <w:pPr>
        <w:pStyle w:val="Normal"/>
        <w:ind w:firstLine="420"/>
        <w:jc w:val="both"/>
        <w:rPr>
          <w:sz w:val="24"/>
        </w:rPr>
      </w:pPr>
      <w:r>
        <w:rPr>
          <w:sz w:val="24"/>
        </w:rPr>
        <w:t>Из общего количества молодого населения: учащихся образовательных учреждений района - 742; студентов (в т.ч. учащиеся Ядринского агротехникума) - 1012; молодежи,  служащие в рядах ВС РФ - 62; временно безработных (по данным районного центра занятости) - 18; молодежи, работающей в учреждениях, организациях и предприятиях Ядринского района, выезжающих на работу за пределы муниципального округа - 2737.</w:t>
      </w:r>
    </w:p>
    <w:p>
      <w:pPr>
        <w:pStyle w:val="Normal"/>
        <w:ind w:firstLine="465"/>
        <w:jc w:val="both"/>
        <w:rPr>
          <w:sz w:val="24"/>
        </w:rPr>
      </w:pPr>
      <w:r>
        <w:rPr>
          <w:sz w:val="24"/>
        </w:rPr>
        <w:t>Вопросы реализации государственной молодежной политики курирует ведущий специалист-эксперт сектора по развитию спорта и молодежной политики отдела образования Ядринского муниципального округа Чувашской Республики. Стаж работы специалиста в этой области 14 дней (общий стаж работы данного специалиста - 0 лет).</w:t>
      </w:r>
    </w:p>
    <w:p>
      <w:pPr>
        <w:pStyle w:val="Normal"/>
        <w:ind w:firstLine="465"/>
        <w:jc w:val="both"/>
        <w:rPr>
          <w:color w:val="000000"/>
          <w:sz w:val="24"/>
        </w:rPr>
      </w:pPr>
      <w:r>
        <w:rPr>
          <w:sz w:val="24"/>
        </w:rPr>
        <w:t xml:space="preserve">Реализацию государственной молодежной политики осуществляют отдел образования администрации Ядринского муниципального округа и 3 учреждения дополнительного образования: МБУ ДО «Дом детского творчества Ядринского муниципального округа», МБУ ДО «Ядринская ДШИ им. А.В. Асламаса», </w:t>
      </w:r>
      <w:r>
        <w:rPr>
          <w:color w:val="000000"/>
          <w:sz w:val="24"/>
        </w:rPr>
        <w:t>МАУ ДО «ДЮСШ «Физкультурно-спортивный комплекс «Присурье» Ядринского муниципального округа.</w:t>
      </w:r>
    </w:p>
    <w:p>
      <w:pPr>
        <w:pStyle w:val="Normal"/>
        <w:ind w:firstLine="525"/>
        <w:jc w:val="both"/>
        <w:rPr>
          <w:sz w:val="24"/>
        </w:rPr>
      </w:pPr>
      <w:r>
        <w:rPr>
          <w:color w:val="000000"/>
          <w:sz w:val="24"/>
        </w:rPr>
        <w:t>На сегодняшний день в АИС «Молодежь России» от Ядринского муниципального округа зарегистрировано 1 мероприятие (Международный молодежный образовательный форум «21 регион. Процветающая Россия») и более 100 человек в возрасте от 14 до 35 лет.  В ЕИС «Добровольцы России» зарегистрировано 73 мероприятий и более 370 человек, в возрасте от 14 до 35 лет.</w:t>
      </w:r>
    </w:p>
    <w:p>
      <w:pPr>
        <w:pStyle w:val="Normal"/>
        <w:ind w:firstLine="525"/>
        <w:jc w:val="both"/>
        <w:rPr>
          <w:sz w:val="24"/>
        </w:rPr>
      </w:pPr>
      <w:r>
        <w:rPr>
          <w:sz w:val="24"/>
        </w:rPr>
        <w:t>На территории муниципального округа функционируют 30 незарегистрированных объединений (504 человека) (в том числе МО ВОД «Волонтеры Победы» в Ядринском муниципальном округе Чувашской Республики и местная организация ООО «Российский Союз Молодежи» в Ядринском муниципальном округе Чувашской Республики). Волонтерским движением охвачено более 1400 человек, что составляет 30,8% от общего количества молодежи в муниципальном округе. Стоит отметить, что с каждым годом число волонтеров увеличивается, что говорит о росте популярности добровольческого (волонтерского) движения в Ядринском муниципальном округе. Добровольцы (волонтеры) муниципального округа оказывают помощь по многим направлениям. Это экологическая помощь (уборка и озеленение территорий, благоустройство населенных пунктов, памятных мест и т.д.), пропаганда здорового образа жизни, военно-патриотическое (акции, квест-игры), социальное (помощь людям, находящимся в трудной жизненной ситуации) и событийное (помощь при проведении мероприятий в муниципальном округе) направления.</w:t>
      </w:r>
    </w:p>
    <w:p>
      <w:pPr>
        <w:pStyle w:val="Normal"/>
        <w:ind w:firstLine="525"/>
        <w:jc w:val="both"/>
        <w:rPr>
          <w:b/>
          <w:b/>
          <w:color w:val="000000"/>
          <w:sz w:val="24"/>
          <w:szCs w:val="20"/>
          <w:shd w:fill="FFFFFF" w:val="clear"/>
        </w:rPr>
      </w:pPr>
      <w:r>
        <w:rPr>
          <w:sz w:val="24"/>
        </w:rPr>
        <w:t>Активным участником общественной жизни является местное отделение Всероссийского общественного движения «Волонтеры Победы», которое принимает активное участие во всех мероприятиях Ядринского муниципального округа.</w:t>
      </w:r>
    </w:p>
    <w:p>
      <w:pPr>
        <w:pStyle w:val="Normal"/>
        <w:ind w:firstLine="525"/>
        <w:jc w:val="both"/>
        <w:rPr>
          <w:color w:val="000000"/>
          <w:sz w:val="24"/>
          <w:shd w:fill="FFFFFF" w:val="clear"/>
        </w:rPr>
      </w:pPr>
      <w:r>
        <w:rPr>
          <w:b/>
          <w:color w:val="000000"/>
          <w:sz w:val="24"/>
          <w:szCs w:val="20"/>
          <w:shd w:fill="FFFFFF" w:val="clear"/>
        </w:rPr>
        <w:t>18 января</w:t>
      </w:r>
      <w:r>
        <w:rPr>
          <w:color w:val="000000"/>
          <w:sz w:val="24"/>
          <w:szCs w:val="20"/>
          <w:shd w:fill="FFFFFF" w:val="clear"/>
        </w:rPr>
        <w:t xml:space="preserve"> у входа в квартиру ветерана Великой Отечественной войны - Темнова Алексея Федоровича из п. Совхозный Ядринского муниципального округа волонтеры (добровольцы) установили табличку: «Здесь живёт участник Великой Отечественной войны». </w:t>
      </w:r>
      <w:r>
        <w:rPr>
          <w:b/>
          <w:sz w:val="24"/>
        </w:rPr>
        <w:t>19 января</w:t>
      </w:r>
      <w:r>
        <w:rPr>
          <w:sz w:val="24"/>
        </w:rPr>
        <w:t xml:space="preserve"> проводилась акция «Снежный десант» - 2023, в рамках которой были очищены от снега памятные места в городе Ядрин.  </w:t>
      </w:r>
      <w:r>
        <w:rPr>
          <w:b/>
          <w:sz w:val="24"/>
        </w:rPr>
        <w:t>28 января</w:t>
      </w:r>
      <w:r>
        <w:rPr>
          <w:sz w:val="24"/>
        </w:rPr>
        <w:t xml:space="preserve"> состоялась </w:t>
      </w:r>
      <w:r>
        <w:rPr>
          <w:color w:val="000000"/>
          <w:sz w:val="24"/>
          <w:shd w:fill="FFFFFF" w:val="clear"/>
        </w:rPr>
        <w:t>I молодежная интеллектуальная игра «САМовар», среди учащихся образовательных учреждений Ядринского муниципального округа.</w:t>
      </w:r>
    </w:p>
    <w:p>
      <w:pPr>
        <w:pStyle w:val="Normal"/>
        <w:ind w:firstLine="525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В феврале состоялись следующие мероприятия, в которых приняла участие наша молодежь: открытие Года счастливого детства в Ядринском муниципальном округе, православный молодежный форум «Сурские встречи», мероприятия по Дню защитника Отечества, вручение паспортов молодым гражданам, мероприятия по Плану Дня молодого избирателя, мероприятия в рамках месячника оборонно-массовой, спортивной и патриотический работы и акции «Свеча Надежды», мастер-классы по фитнес-аэробике, митинги и уроки памяти, посвящённый 80-летию разгрома фашистских войск под Сталинградом. Представители молодежи активно и достойно представляют наш муниципалитет на всероссийских и республиканских мероприятиях. Члены туристического клуба «Ювтук» в феврале 2023 года успела поучаствовать сразу в нескольких соревнованиях, став победителями и призерами. Команда КВН «Ядрён-батон Форева» выступила на фестивале КиВиН Чувашии. А советник директора по воспитанию МБОУ «СОШ № 2» г. Ядрин Людмила Муравьева приняла участие в Международном слёте «Внуки Победы. Сталинград».</w:t>
      </w:r>
    </w:p>
    <w:p>
      <w:pPr>
        <w:pStyle w:val="Normal"/>
        <w:ind w:firstLine="525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В марте состоялись следующие мероприятия: собрание актива рабочей молодежи округа; Образовательное воскресенье в МБОУ «Ювановская СОШ»; презентация документального фильма Волонтеров Победы «139 стрелковая дивизия — история боевого пути от Волги до Эльбы»; выборы на пост президента школьного ученического самоуправления в СОШ № 2 г. Ядрин; Всероссийские уроки памяти «У войны не женское лицо» и квест «Женские лица войны»; студенты агротехникума приняли участие в Диктанте ЖКХ и Студвесне; кадеты СОШ № 3 г. Ядрин побывали в г. Мурманск в гостях у моряков-подводников; делегация Ядринского МО ЧР приняла участие в открытии Года счастливого детства и Года педагога и наставника в г. Чебоксары; прошел профориентационный форум сельских школ и малых городов, а также образовательный форум «Противодействие идеологии терроризма в образовательной сфере и молодежной среде»; учащиеся и волонтеры приняли участие во Всероссийской исторической игре «1418» и акции по благоустройству памятников ВОВ «Верни герою имя» и «Обелиск»; школьники, студенты, молодежь и волонтеры активно помогали в акции по поддержке российских военнослужащих в зоне СВО «МЫВМЕСТЕ» и мероприятиях по благоустройству территорий и общественных пространств.</w:t>
      </w:r>
    </w:p>
    <w:p>
      <w:pPr>
        <w:pStyle w:val="Normal"/>
        <w:ind w:firstLine="525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В апреле состоялись следующие мероприятия: показ фильма «Пути не выдуманных героев» в Ядринском РДК с участием учащихся ОУ округа; мастер-класс «Молодежь и предпринимательство»; всероссийские исторические игры «1418»; стартовал Всероссийский субботник по благоустройству общественных пространств; отлично проявила себя команда КВН «Ядрён-батон Форева» - вышла в ¼ финала Высшей Лиги КВН Чувашии; прошли интеллектуальные игры ко Дню космонавтики; состоялось открытие первичных отделений РДДМ «Движение первых»; р</w:t>
      </w:r>
      <w:r>
        <w:rPr>
          <w:bCs/>
          <w:color w:val="000000"/>
          <w:sz w:val="24"/>
          <w:shd w:fill="FFFFFF" w:val="clear"/>
        </w:rPr>
        <w:t xml:space="preserve">еспубликанские соревнования по спортивному туризму на водных дистанциях в Ювановском территориальном отделе; выступление </w:t>
      </w:r>
      <w:r>
        <w:rPr>
          <w:color w:val="000000"/>
          <w:sz w:val="24"/>
          <w:shd w:fill="FFFFFF" w:val="clear"/>
        </w:rPr>
        <w:t>Молодежного православного клуба в мероприятиях по празднованию православного праздника — Пасхи; в рамках Всероссийской акции «Сад Памяти» было высажено более 5 000 деревьев и кустарников; молодежная команда «Ядриналин» БУ «Ядринская ЦРБ им. К.В. Волкова» приняла участие в Слёте рабочей молодежи в г. Канаш; состоялись к</w:t>
      </w:r>
      <w:r>
        <w:rPr>
          <w:bCs/>
          <w:color w:val="000000"/>
          <w:sz w:val="24"/>
          <w:shd w:fill="FFFFFF" w:val="clear"/>
        </w:rPr>
        <w:t xml:space="preserve">онкурс-фестиваль эстрадной песни «Дебют» и </w:t>
      </w:r>
      <w:r>
        <w:rPr>
          <w:color w:val="000000"/>
          <w:sz w:val="24"/>
          <w:shd w:fill="FFFFFF" w:val="clear"/>
        </w:rPr>
        <w:t>Межрегиональный конкурс хореографических коллективов «Хрустальный башмачок»; прошли Всероссийские акции «Диктант Победы» и «Георгиевская ленточка»; мероприятия, в рамках празднования 175-летию со дня рождения чувашского просветителя И.Я, Яковлева.</w:t>
      </w:r>
    </w:p>
    <w:p>
      <w:pPr>
        <w:pStyle w:val="Normal"/>
        <w:ind w:firstLine="525"/>
        <w:jc w:val="both"/>
        <w:rPr>
          <w:sz w:val="24"/>
        </w:rPr>
      </w:pPr>
      <w:r>
        <w:rPr>
          <w:color w:val="000000"/>
          <w:sz w:val="24"/>
          <w:shd w:fill="FFFFFF" w:val="clear"/>
        </w:rPr>
        <w:t>В мае состоялись следующие мероприятия: субботники по благоустройству и в рамках Всероссийской акции «Вода России»; церемония передачи Вечного огня с Красной площади в д. В.АЧаки; акция «Георгиевская ленточка»;показ документального фильма “Сурский рубеж”; Единый “Урок о ПОБЕДЕ”во всех школах округа;  праздничные мероприятия с участием молодежи и квест «Победа»; фестиваль молодых семей в д. В.Ачаки; военно-полевые сборы учащихся 10-ых классов; юнармейские игры «Зарница» и «Орленок». Также молодежь помогала в федеральном голосовании по объектам благоустройства.</w:t>
      </w:r>
    </w:p>
    <w:p>
      <w:pPr>
        <w:pStyle w:val="Normal"/>
        <w:spacing w:lineRule="auto" w:line="276"/>
        <w:ind w:firstLine="551"/>
        <w:jc w:val="both"/>
        <w:rPr>
          <w:sz w:val="24"/>
        </w:rPr>
      </w:pPr>
      <w:r>
        <w:rPr>
          <w:sz w:val="24"/>
        </w:rPr>
        <w:t>Активная молодежь поощряется почетными грамотами и благодарственными письмами администрации Ядринского муниципального округа, отдела образования, выдвигается на стипендии Главы Чувашской Республики, депутата Государственного Совета Чувашской Республики Н.В. Малова и главы Ядринского муниципального округа.</w:t>
      </w:r>
    </w:p>
    <w:p>
      <w:pPr>
        <w:pStyle w:val="Normal"/>
        <w:ind w:firstLine="675"/>
        <w:jc w:val="both"/>
        <w:rPr>
          <w:sz w:val="24"/>
        </w:rPr>
      </w:pPr>
      <w:r>
        <w:rPr>
          <w:sz w:val="24"/>
        </w:rPr>
        <w:t>В этом году специальные стипендии удостоились 17 человек (из них 1 человек - работающая молодежь, 7 человек - члены МО ВОД «Волонтеры Победы» в Ядринском муниципальном округе Чувашской Республики, 9 человек - учащиеся образовательных учреждений Ядринского муниципального округа) - стипендию (по 2500 руб.) Главы Чувашской Республики (в 2022 г. - 21 человек, в 2021 - 25 человек). На конкурсной основе ежегодно получают стипендии (ежегодно 10 человек, по 500 руб.) депутата Государственного Совета Чувашской Республики Николая Владимировича Малова и главы Ядринского муниципального округа (ежегодно 10 человек, по 250 руб.).</w:t>
      </w:r>
    </w:p>
    <w:p>
      <w:pPr>
        <w:pStyle w:val="Normal"/>
        <w:ind w:firstLine="645"/>
        <w:jc w:val="both"/>
        <w:rPr>
          <w:sz w:val="24"/>
        </w:rPr>
      </w:pPr>
      <w:r>
        <w:rPr>
          <w:sz w:val="24"/>
        </w:rPr>
        <w:t>Еженедельно проводятся мероприятия с молодежью по профилактике наркомании, потребления психоактивных веществ. Раз в месяц - мероприятия с молодежью в сфере межнационального сотрудничества, профилактики экстремизма, терроризма и правонарушений.</w:t>
      </w:r>
    </w:p>
    <w:p>
      <w:pPr>
        <w:pStyle w:val="Normal"/>
        <w:ind w:firstLine="555"/>
        <w:jc w:val="both"/>
        <w:rPr>
          <w:sz w:val="24"/>
        </w:rPr>
      </w:pPr>
      <w:r>
        <w:rPr>
          <w:sz w:val="24"/>
        </w:rPr>
        <w:t>Учащаяся и рабочая молодежь муниципального округа активно принимает участие в мероприятиях по сдаче норм ГТО.</w:t>
      </w:r>
    </w:p>
    <w:p>
      <w:pPr>
        <w:pStyle w:val="Normal"/>
        <w:ind w:firstLine="630"/>
        <w:jc w:val="both"/>
        <w:rPr>
          <w:sz w:val="24"/>
        </w:rPr>
      </w:pPr>
      <w:r>
        <w:rPr>
          <w:sz w:val="24"/>
        </w:rPr>
        <w:t>Реализация государственной молодёжной политики в Ядринском муниципальном округе в 2023 году будет осуществляться в соответствии с подпрограммой «Молодежь» муниципальной программы Ядринского муниципального округа Чувашской Республики «Развитие образования» (финансирование  в 2023 - 136 тыс. 163 руб.).</w:t>
      </w:r>
    </w:p>
    <w:p>
      <w:pPr>
        <w:pStyle w:val="Normal"/>
        <w:ind w:firstLine="660"/>
        <w:jc w:val="both"/>
        <w:rPr>
          <w:color w:val="000000"/>
          <w:sz w:val="24"/>
        </w:rPr>
      </w:pPr>
      <w:r>
        <w:rPr>
          <w:sz w:val="24"/>
        </w:rPr>
        <w:t>Также будет продолжаться усиленная работа по проектной и грантовой деятельности, будут проводиться мероприятия по привлечению представителей учащейся и рабочей молодежи к реализации государственной молодежной политики на территории муниципального округа, по поддержке детских и молодежных объединений, мероприятия по регистрации молодежных активистов в АИС «Молодежь России» и «Добровольцы России», акция «МЫ ВМЕСТЕ», экологические субботники, мероприятия в соответствии с планом ВОД «Волонтеры Победы».</w:t>
      </w:r>
    </w:p>
    <w:p>
      <w:pPr>
        <w:pStyle w:val="Normal"/>
        <w:ind w:hanging="0"/>
        <w:jc w:val="both"/>
        <w:rPr/>
      </w:pPr>
      <w:r>
        <w:rPr>
          <w:rFonts w:eastAsia="Mangal"/>
          <w:b/>
          <w:color w:val="000000"/>
          <w:sz w:val="26"/>
          <w:szCs w:val="26"/>
        </w:rPr>
        <w:tab/>
        <w:t>Культура</w:t>
      </w:r>
    </w:p>
    <w:p>
      <w:pPr>
        <w:pStyle w:val="Normal"/>
        <w:ind w:firstLine="708"/>
        <w:jc w:val="both"/>
        <w:rPr>
          <w:rFonts w:eastAsia="Mangal"/>
          <w:sz w:val="26"/>
          <w:szCs w:val="26"/>
        </w:rPr>
      </w:pPr>
      <w:r>
        <w:rPr>
          <w:rFonts w:eastAsia="Mangal"/>
          <w:sz w:val="26"/>
          <w:szCs w:val="26"/>
        </w:rPr>
        <w:t xml:space="preserve">На 2023 год в </w:t>
      </w:r>
      <w:r>
        <w:rPr>
          <w:rFonts w:eastAsia="Calibri"/>
          <w:sz w:val="26"/>
          <w:szCs w:val="26"/>
        </w:rPr>
        <w:t>Ядринском муниципальном округе Чувашской Республики</w:t>
      </w:r>
      <w:r>
        <w:rPr>
          <w:rFonts w:eastAsia="Mangal"/>
          <w:sz w:val="26"/>
          <w:szCs w:val="26"/>
        </w:rPr>
        <w:t xml:space="preserve"> в сфере культуры запланировано большое количестве мероприятий, как ежегодных традиционных, так и совершенно нового формата, которые будут проходить в рамках Года педагога и наставника в Российской Федерации и Года счастливого детства в Чувашской Республике.</w:t>
      </w:r>
    </w:p>
    <w:p>
      <w:pPr>
        <w:pStyle w:val="Normal"/>
        <w:ind w:firstLine="708"/>
        <w:jc w:val="both"/>
        <w:rPr>
          <w:rFonts w:eastAsia="Times New Roman CYR"/>
          <w:sz w:val="26"/>
          <w:szCs w:val="26"/>
        </w:rPr>
      </w:pPr>
      <w:r>
        <w:rPr>
          <w:rFonts w:eastAsia="Mangal"/>
          <w:sz w:val="26"/>
          <w:szCs w:val="26"/>
        </w:rPr>
        <w:t xml:space="preserve">На книжное комплектование своего фонда </w:t>
      </w:r>
      <w:r>
        <w:rPr>
          <w:rFonts w:eastAsia="Calibri"/>
          <w:sz w:val="26"/>
          <w:szCs w:val="26"/>
        </w:rPr>
        <w:t>муниципальное бюджетное учреждение «Централизованная библиотечная система» Ядринского муниципального округа Чувашской Республики получила в этом году 74 148,94 рублей.</w:t>
      </w:r>
    </w:p>
    <w:p>
      <w:pPr>
        <w:pStyle w:val="Normal"/>
        <w:ind w:firstLine="708"/>
        <w:jc w:val="both"/>
        <w:rPr>
          <w:rFonts w:eastAsia="Mangal"/>
          <w:sz w:val="26"/>
          <w:szCs w:val="26"/>
        </w:rPr>
      </w:pPr>
      <w:r>
        <w:rPr>
          <w:rFonts w:eastAsia="Times New Roman CYR"/>
          <w:sz w:val="26"/>
          <w:szCs w:val="26"/>
        </w:rPr>
        <w:t>В 2022 году Ядринский МО принял участие в республиканском конкурсе на лучшее учреждение культуры. Иванова Алексей Львович, хормейстер</w:t>
      </w:r>
      <w:r>
        <w:rPr>
          <w:rFonts w:eastAsia="Calibri"/>
          <w:sz w:val="26"/>
          <w:szCs w:val="26"/>
        </w:rPr>
        <w:t xml:space="preserve"> Лапракасинского сельского Дома культуры муниципального автономного учреждения «Централизованная клубная система» Ядринского муниципального округа Чувашской Республики</w:t>
      </w:r>
      <w:r>
        <w:rPr>
          <w:rFonts w:eastAsia="Times New Roman CYR"/>
          <w:sz w:val="26"/>
          <w:szCs w:val="26"/>
        </w:rPr>
        <w:t xml:space="preserve"> стал одним из победителей в своей номинации, ему перечислена сумма в размере 85 тыс. руб.</w:t>
      </w:r>
    </w:p>
    <w:p>
      <w:pPr>
        <w:pStyle w:val="Normal"/>
        <w:ind w:firstLine="708"/>
        <w:jc w:val="both"/>
        <w:rPr>
          <w:rFonts w:eastAsia="Times New Roman CYR"/>
          <w:sz w:val="26"/>
          <w:szCs w:val="26"/>
        </w:rPr>
      </w:pPr>
      <w:r>
        <w:rPr>
          <w:rFonts w:eastAsia="Mangal"/>
          <w:sz w:val="26"/>
          <w:szCs w:val="26"/>
        </w:rPr>
        <w:t xml:space="preserve">В 2023-2024 годах планируется провести реставрационные работы объекта культурного наследия «Дом, в котором родился Н.И. Ашмарин» (более 15 млн. руб.). </w:t>
      </w:r>
      <w:r>
        <w:rPr>
          <w:sz w:val="26"/>
          <w:szCs w:val="26"/>
        </w:rPr>
        <w:t>На сегодняшний день собрана необходимая информация, разработана проектно-сметная документация, которая уже прошла государственную экспертизу. Данная деятельность осуществляется совместно с ООО «ВИНКАЙТ» и БУ «Государственный центр по охране культурного наследия»</w:t>
      </w:r>
      <w:r>
        <w:rPr>
          <w:rFonts w:eastAsia="Mangal"/>
          <w:sz w:val="26"/>
          <w:szCs w:val="26"/>
        </w:rPr>
        <w:t>.</w:t>
      </w:r>
    </w:p>
    <w:p>
      <w:pPr>
        <w:pStyle w:val="Normal"/>
        <w:ind w:firstLine="708"/>
        <w:jc w:val="both"/>
        <w:rPr>
          <w:rFonts w:eastAsia="Mangal"/>
          <w:sz w:val="26"/>
          <w:szCs w:val="26"/>
        </w:rPr>
      </w:pPr>
      <w:r>
        <w:rPr>
          <w:rFonts w:eastAsia="Times New Roman CYR"/>
          <w:sz w:val="26"/>
          <w:szCs w:val="26"/>
        </w:rPr>
        <w:t>Кроме этого, в этом году будет продолжена работа по вопросу строительства в с. Ядрино, с. Малое Карачкино и д. Кильдишево социально-культурных центров.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rFonts w:eastAsia="Mangal"/>
          <w:sz w:val="26"/>
          <w:szCs w:val="26"/>
        </w:rPr>
        <w:t>Требуется продолжение ремонта в здании Ядринского районного архива, Ядринской Центральной библиотеки, Кукшумском, Персирланском и Стрелецком СДК. Требуется решить вопрос по благоустройству прилегающей территории к Ядринскому районному Дому культуры, по ремонту и благоустройству объектов культурного наследия на территории г. Ядрин. По данным проблемным вопросам тоже ведется соответствующая работа.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/>
        <w:tab/>
      </w:r>
      <w:r>
        <w:rPr>
          <w:rFonts w:cs="Times New Roman" w:ascii="Times New Roman" w:hAnsi="Times New Roman"/>
          <w:b/>
          <w:sz w:val="26"/>
          <w:szCs w:val="26"/>
        </w:rPr>
        <w:t>Спорт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За январь месяц в Ядринском муниципальном округе прошли спортивные мероприятия: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Декада спорта и здоровья; открытое зимнее первенство Ядринского муниципального округа по зимнему футбола сезона 2023 г.; Фестиваль ВФСК «ГТО» среди территориальных отделов Ядринского муниципального округа; первенство Ядринского района по мини-футболу сезона 2022-2023 г. Приняли участие в: Чемпионате и первенстве Чувашской Республики по лыжным гонкам.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февраль месяц в Ядринском муниципальном округе прошли спортивные мероприятия: соревнования по лыжным гонкам памяти Иванова Анатолия Геннадьевича — участника боевых действий, погибшего в Чеченской Республике; соревнования по лыжным гонкам, памяти Героя Советского Союза Пайгусова Е.Г.; турнир Ядринского муниципального округа по рыболовному спорту на зимнюю удочку, памяти Алексеева Леонида Михайловича; XI Спартакиада пенсионеров Чувашской Республики «За активное долголетие»; Фестиваль ГТО среди работников образовательных организаций; XLI открытая Всероссийская массовая лыжная гонка в Ядринском муниципальном округе; муниципальный этап чемпионата Школьной Волейбольной Лиги; открытое первенство Ядринского муниципального округа по самбо, посвященное Дню защитника Отечества; муниципальный этап Фестиваля школьных спортивных клубов; открытое первенство ДЮСШ по хоккею среди юношей 2010-2011 г.р., посвященное Дню защитника Отечества. Приняли участие в: республиканские соревнования по дзюдо в г. Козмодемьянск (1 бронза); открытый чемпионат и первенство г. Чебоксары по спортивному туризму на горных дистанциях(1 серебро и 2 бронза); первенство ПФО по триатлону в дисциплине акватлон (1 бронза, 1 взр); республиканские соревнования по легкоатлетическому многоборью (1 серебро); открытое первенство г. Чебоксары по дзюдо (2 серебро); республиканские соревнования по легкоатлетическому четырех борью «Шиповка юных» (2 з 2 с 2 бр); чемпионат и первенство Чувашской Республики по плаванию (1з 1 с и 1 бр); первенство России по полиатлону в четырехборье. Провели мастер-класс по фитнес-аэробике с Яковлевой Лилией Титовной на базе ФСК «Присурье».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март месяц провели: веселые старты среди женских команд; волейбол среди женских команд; шахматно-шашечный турнир на призы депутата Собрания депутатов Ядринского МО Спасовой Л.С.; Фестиваль ВФСК «ГТО» среди семейных команд; республиканский турнир по спортивной борьбе (вольная борьба) памяти ЗТР Кочкова В.Н. Приняли участие в : открытом первенстве по волейболу городского округа Воротынский 2023 года, по итоге которой команда «Ядрин» заняла 2 -ое место; в зимнем Фестивале ВФСК «ГТО» среди взрослого населения; в XI Всероссийских зимних сельских спортивных играх в г. Череповец, где команда с Ядринского МО заняла 2-ое место в дисциплине «троеборье дояров»; всероссийских соревнованиях по легкоатлетическому четырехборью «Шиповка юных» (в помещении) среди общеобразовательных организаций; XXI Спартакиаде работников органов государственной власти, территориальных органов федеральных органов исполнительной власти и органов местного самоуправления Чувашской Республики. Провели мастер-класс по самбо.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апрель месяц провели: открытое первенство МАУ ДО «ДЮСШ» ФСК «Присурье» по акватлону на призы депутата Собрания депутатов Ядринского муниципального округа Чувашской Республики Е.Ю. Шлепневой; Чемпионат и первенство Чувашской Республики по спортивному туризму на водных дистанциях; открытый чемпионат и Ядринского муниципального округа по спортивному туризму на водных дистанциях; открытое первенство по плаванию на Кубок Ядринского муниципального округа; первенство ПФО по водному поло среди девушек до 16 лет; открытое первенство Ядринского муниципального округа по самбо среди юношей и девушек памяти Героя Советского Союза Ф.Н. Орлова; первенство Ядринского муниципального округа по волейболу; традиционный 75-ый легкоатлетический кросс на призы районной газеты «Знамя труда». Приняли участие в : в открытом первенстве по волейболу городского округа Воротынский 2023 года — 2 место. Оказана 6 услуг в электронном виде присвоение спортивных разрядов через госуслуги. Продолжается ежемесячный прием норм ВФСК «ГТО» среди населения и ежемесячный День здоровья и спорта.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май месяц провели: межрегиональный турнир по дзюдо «Возрождение» среди юношей и девушек, ко приуроченной Году счастливого детства; республиканские соревнования по спортивной ходьбе на призы чемпионки мира и Европы, заслуженного мастера спорта и СССР Алины Ивановой; традиционный турнир по мини-футболу Персирланского территориального отдела Ядринского муниципального округа ЧР; спортивные мероприятия в рамках празднования, посвященной 78-ой годовщине Победы в ВОВ. Приняли участие в: XXI Спартакиаде работников органов государственной власти, территориальных органов федеральных органов исполнительной власти и органов местного самоуправления Чувашской Республики; XI Спартакиады пенсионеров Чувашской Республики «За активное долголетие»; чемпионате и первенстве Чувашской Республики по легкой атлетике; соревнованиях по футболу среди любительских команд в рамках Чемпионата ЛФЛ по городу Чебоксары на сезон 2023 года в формате 8х8; открытом первенстве Федерации Футбола Чувашской Республики по футболу (ветераны 40+) сезона 2023 года; открытом первенстве Федерации Футбола Чувашской Республики по футболу (взрослые) сезона 2023 года. Оказана 21 услуг в электронном виде присвоение спортивных разрядов через госуслуги. Продолжается ежемесячный прием норм ВФСК «ГТО» среди населения и ежемесячный День здоровья и спорта.</w:t>
      </w:r>
    </w:p>
    <w:p>
      <w:pPr>
        <w:pStyle w:val="Normal"/>
        <w:ind w:hanging="0"/>
        <w:jc w:val="both"/>
        <w:rPr>
          <w:highlight w:val="green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highlight w:val="green"/>
        </w:rPr>
        <w:t xml:space="preserve">Гражданская оборона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январь-апрель 2023 года основное усилие администрации Ядринского муниципального округа Чувашской Республики было направлено на выполнение Плана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Вопросы совершенствования гражданской обороны, предупреждения и ликвидации чрезвычайных ситуаций природного и техногенного характера, обеспечения безопасности жизнедеятельности населения района рассматривались на совещаниях и заседаниях: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проведены 7 расширенных совещания с участием руководителей структурных подразделений администрации, начальников территориальных отделов старост населенных пунктов, сотрудников 43 ПCЧ 5 ПСО ФПС ГПС Главного управления МЧС России по Чувашской Республике – Чувашии, руководителей предприятий, организаций и учреждений по вопросам профилактики и усиления пожарной безопасности, охраны жизни людей на водных объектах;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проведено 3 заседание Ядринской муниципальной комиссии по предупреждению и ликвидации чрезвычайных ситуаций и обеспечению пожарной безопасности с участием руководителей структурных подразделений администрации, начальников территориальных отделов администрации Ядринского муниципального округа Чувашской Республики и руководителей предприятий, организаций и учреждений;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проведено 1 заседание антитеррористическая комиссии Ядринской муниципальной округа Чувашской Республики;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Принято 5 постановлений распоряжений администрации Ядринского муниципального округа в области ГО и ЧС.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Плану основных мероприятий во взаимодействии с органами местного самоуправления, организациями и заинтересованными структурами проведены: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подворные обходы жилого сектора на предмет соблюдения населением правил пожарной безопасности в жилье. В первую очередь комиссией обследованы условия проживания социального-неблагопучных семей, одиноких престарелых граждан, а также граждан, злоупотребляющих спиртными напитками;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среди населения распространены памятки о требованиях пожарной безопасности;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проводились занятия с оперативными дежурными ЕДДС Ядринского муниципального округа Чувашской Республики;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Проводимая работа была направлена на увеличение охвата и повышение эффективности обучения населения способам защиты от чрезвычайных ситуаций природного и техногенного характера, пожаров и безопасного поведения на водных объектах.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поселениях проводилась разъяснительная работа с населением о мерах пожарной безопасности и действиям при пожаре. Особое внимание при этом уделено наличию первичных средств пожаротушения в личных хозяйствах, состоянию электропроводки, соблюдению правил эксплуатации электробытовых приборов, газового оборудования, отопительных печей, дымоходов жилых домов и бань. Населению рекомендовано закупать огнетушители, также проведена разъяснительная работа с населением по страхованию имущества граждан на случай пожара.</w:t>
      </w:r>
    </w:p>
    <w:p>
      <w:pPr>
        <w:pStyle w:val="Normal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49" w:header="708" w:top="1134" w:footer="0" w:bottom="993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E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9409328"/>
    </w:sdtPr>
    <w:sdtContent>
      <w:p>
        <w:pPr>
          <w:pStyle w:val="Style35"/>
          <w:jc w:val="center"/>
          <w:rPr/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 PAGE </w:instrText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0</w:t>
        </w:r>
        <w:r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9b0"/>
    <w:pPr>
      <w:widowControl/>
      <w:suppressAutoHyphens w:val="true"/>
      <w:bidi w:val="0"/>
      <w:snapToGrid w:val="false"/>
      <w:spacing w:before="0" w:after="0"/>
      <w:ind w:firstLine="567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 w:customStyle="1">
    <w:name w:val="Heading 1"/>
    <w:basedOn w:val="Style28"/>
    <w:qFormat/>
    <w:rsid w:val="00e20fd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uiPriority w:val="99"/>
    <w:qFormat/>
    <w:rsid w:val="00f27cd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f27cdc"/>
    <w:rPr>
      <w:rFonts w:ascii="Calibri" w:hAnsi="Calibri" w:eastAsia="Calibri" w:cs="Times New Roman"/>
    </w:rPr>
  </w:style>
  <w:style w:type="character" w:styleId="Style14" w:customStyle="1">
    <w:name w:val="Основной текст Знак"/>
    <w:basedOn w:val="DefaultParagraphFont"/>
    <w:uiPriority w:val="99"/>
    <w:qFormat/>
    <w:rsid w:val="004656f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c3fe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c3fe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b1249"/>
    <w:rPr>
      <w:rFonts w:ascii="Arial" w:hAnsi="Arial" w:eastAsia="Times New Roman" w:cs="Arial"/>
      <w:sz w:val="18"/>
      <w:szCs w:val="18"/>
      <w:lang w:eastAsia="ru-RU"/>
    </w:rPr>
  </w:style>
  <w:style w:type="character" w:styleId="Norss" w:customStyle="1">
    <w:name w:val="no_rss"/>
    <w:basedOn w:val="DefaultParagraphFont"/>
    <w:qFormat/>
    <w:rsid w:val="00e20fd3"/>
    <w:rPr/>
  </w:style>
  <w:style w:type="character" w:styleId="Style18" w:customStyle="1">
    <w:name w:val="Интернет-ссылка"/>
    <w:rsid w:val="00e20fd3"/>
    <w:rPr>
      <w:strike w:val="false"/>
      <w:dstrike w:val="false"/>
      <w:color w:val="000000"/>
      <w:u w:val="none"/>
    </w:rPr>
  </w:style>
  <w:style w:type="character" w:styleId="Style19" w:customStyle="1">
    <w:name w:val="???????? ????? ??????"/>
    <w:qFormat/>
    <w:rsid w:val="00e20fd3"/>
    <w:rPr/>
  </w:style>
  <w:style w:type="character" w:styleId="WW8Num1z0" w:customStyle="1">
    <w:name w:val="WW8Num1z0"/>
    <w:qFormat/>
    <w:rsid w:val="00e20fd3"/>
    <w:rPr>
      <w:rFonts w:ascii="Times New Roman" w:hAnsi="Times New Roman" w:eastAsia="Calibri" w:cs="Times New Roman"/>
      <w:b w:val="false"/>
      <w:bCs w:val="false"/>
      <w:i w:val="false"/>
      <w:iCs w:val="false"/>
      <w:color w:val="000000"/>
      <w:sz w:val="26"/>
      <w:szCs w:val="26"/>
      <w:shd w:fill="auto" w:val="clear"/>
    </w:rPr>
  </w:style>
  <w:style w:type="character" w:styleId="Style20" w:customStyle="1">
    <w:name w:val="Маркеры"/>
    <w:qFormat/>
    <w:rsid w:val="00e20fd3"/>
    <w:rPr>
      <w:rFonts w:ascii="OpenSymbol" w:hAnsi="OpenSymbol" w:eastAsia="OpenSymbol" w:cs="OpenSymbol"/>
    </w:rPr>
  </w:style>
  <w:style w:type="character" w:styleId="Style21" w:customStyle="1">
    <w:name w:val="Выделение жирным"/>
    <w:basedOn w:val="DefaultParagraphFont"/>
    <w:qFormat/>
    <w:rsid w:val="00e20fd3"/>
    <w:rPr>
      <w:b/>
      <w:bCs/>
    </w:rPr>
  </w:style>
  <w:style w:type="character" w:styleId="3" w:customStyle="1">
    <w:name w:val="Основной текст 3 Знак"/>
    <w:qFormat/>
    <w:rsid w:val="00e20fd3"/>
    <w:rPr>
      <w:rFonts w:ascii="Calibri" w:hAnsi="Calibri" w:cs="Calibri"/>
      <w:sz w:val="16"/>
      <w:szCs w:val="16"/>
    </w:rPr>
  </w:style>
  <w:style w:type="character" w:styleId="Appleconvertedspace" w:customStyle="1">
    <w:name w:val="apple-converted-space"/>
    <w:qFormat/>
    <w:rsid w:val="00e20fd3"/>
    <w:rPr/>
  </w:style>
  <w:style w:type="character" w:styleId="BookTitle">
    <w:name w:val="Book Title"/>
    <w:qFormat/>
    <w:rsid w:val="00e20fd3"/>
    <w:rPr>
      <w:rFonts w:ascii="Cambria" w:hAnsi="Cambria" w:eastAsia="Times New Roman" w:cs="Cambria"/>
      <w:b/>
      <w:i/>
    </w:rPr>
  </w:style>
  <w:style w:type="character" w:styleId="IntenseReference">
    <w:name w:val="Intense Reference"/>
    <w:qFormat/>
    <w:rsid w:val="00e20fd3"/>
    <w:rPr>
      <w:b/>
      <w:u w:val="single"/>
    </w:rPr>
  </w:style>
  <w:style w:type="character" w:styleId="SubtleReference">
    <w:name w:val="Subtle Reference"/>
    <w:qFormat/>
    <w:rsid w:val="00e20fd3"/>
    <w:rPr>
      <w:u w:val="single"/>
    </w:rPr>
  </w:style>
  <w:style w:type="character" w:styleId="IntenseEmphasis">
    <w:name w:val="Intense Emphasis"/>
    <w:qFormat/>
    <w:rsid w:val="00e20fd3"/>
    <w:rPr>
      <w:b/>
      <w:i/>
      <w:u w:val="single"/>
    </w:rPr>
  </w:style>
  <w:style w:type="character" w:styleId="SubtleEmphasis">
    <w:name w:val="Subtle Emphasis"/>
    <w:qFormat/>
    <w:rsid w:val="00e20fd3"/>
    <w:rPr>
      <w:i/>
      <w:color w:val="5A5A5A"/>
    </w:rPr>
  </w:style>
  <w:style w:type="character" w:styleId="Style22" w:customStyle="1">
    <w:name w:val="Выделенная цитата Знак"/>
    <w:qFormat/>
    <w:rsid w:val="00e20fd3"/>
    <w:rPr>
      <w:b/>
      <w:i/>
    </w:rPr>
  </w:style>
  <w:style w:type="character" w:styleId="21" w:customStyle="1">
    <w:name w:val="Цитата 2 Знак"/>
    <w:qFormat/>
    <w:rsid w:val="00e20fd3"/>
    <w:rPr>
      <w:i/>
    </w:rPr>
  </w:style>
  <w:style w:type="character" w:styleId="Style23" w:customStyle="1">
    <w:name w:val="Подзаголовок Знак"/>
    <w:qFormat/>
    <w:rsid w:val="00e20fd3"/>
    <w:rPr>
      <w:rFonts w:ascii="Cambria" w:hAnsi="Cambria" w:eastAsia="Times New Roman"/>
    </w:rPr>
  </w:style>
  <w:style w:type="character" w:styleId="Style24" w:customStyle="1">
    <w:name w:val="Название Знак"/>
    <w:qFormat/>
    <w:rsid w:val="00e20fd3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9" w:customStyle="1">
    <w:name w:val="Заголовок 9 Знак"/>
    <w:qFormat/>
    <w:rsid w:val="00e20fd3"/>
    <w:rPr>
      <w:rFonts w:ascii="Cambria" w:hAnsi="Cambria" w:eastAsia="Times New Roman" w:cs="Cambria"/>
    </w:rPr>
  </w:style>
  <w:style w:type="character" w:styleId="8" w:customStyle="1">
    <w:name w:val="Заголовок 8 Знак"/>
    <w:qFormat/>
    <w:rsid w:val="00e20fd3"/>
    <w:rPr>
      <w:i/>
      <w:iCs/>
    </w:rPr>
  </w:style>
  <w:style w:type="character" w:styleId="7" w:customStyle="1">
    <w:name w:val="Заголовок 7 Знак"/>
    <w:qFormat/>
    <w:rsid w:val="00e20fd3"/>
    <w:rPr/>
  </w:style>
  <w:style w:type="character" w:styleId="6" w:customStyle="1">
    <w:name w:val="Заголовок 6 Знак"/>
    <w:qFormat/>
    <w:rsid w:val="00e20fd3"/>
    <w:rPr>
      <w:b/>
      <w:bCs/>
    </w:rPr>
  </w:style>
  <w:style w:type="character" w:styleId="5" w:customStyle="1">
    <w:name w:val="Заголовок 5 Знак"/>
    <w:qFormat/>
    <w:rsid w:val="00e20fd3"/>
    <w:rPr>
      <w:b/>
      <w:bCs/>
      <w:i/>
      <w:iCs/>
      <w:sz w:val="26"/>
      <w:szCs w:val="26"/>
    </w:rPr>
  </w:style>
  <w:style w:type="character" w:styleId="4" w:customStyle="1">
    <w:name w:val="Заголовок 4 Знак"/>
    <w:qFormat/>
    <w:rsid w:val="00e20fd3"/>
    <w:rPr>
      <w:b/>
      <w:bCs/>
      <w:sz w:val="28"/>
      <w:szCs w:val="28"/>
    </w:rPr>
  </w:style>
  <w:style w:type="character" w:styleId="31" w:customStyle="1">
    <w:name w:val="Заголовок 3 Знак"/>
    <w:qFormat/>
    <w:rsid w:val="00e20fd3"/>
    <w:rPr>
      <w:rFonts w:ascii="Cambria" w:hAnsi="Cambria" w:eastAsia="Times New Roman" w:cs="Cambria"/>
      <w:b/>
      <w:bCs/>
      <w:sz w:val="26"/>
      <w:szCs w:val="26"/>
    </w:rPr>
  </w:style>
  <w:style w:type="character" w:styleId="22" w:customStyle="1">
    <w:name w:val="Заголовок 2 Знак"/>
    <w:qFormat/>
    <w:rsid w:val="00e20fd3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11" w:customStyle="1">
    <w:name w:val="Заголовок 1 Знак"/>
    <w:qFormat/>
    <w:rsid w:val="00e20fd3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Text1" w:customStyle="1">
    <w:name w:val="text1"/>
    <w:qFormat/>
    <w:rsid w:val="00e20fd3"/>
    <w:rPr/>
  </w:style>
  <w:style w:type="character" w:styleId="S1" w:customStyle="1">
    <w:name w:val="s1"/>
    <w:qFormat/>
    <w:rsid w:val="00e20fd3"/>
    <w:rPr/>
  </w:style>
  <w:style w:type="character" w:styleId="Style25" w:customStyle="1">
    <w:name w:val="Знак Знак"/>
    <w:qFormat/>
    <w:rsid w:val="00e20fd3"/>
    <w:rPr>
      <w:lang w:val="ru-RU" w:bidi="ar-SA"/>
    </w:rPr>
  </w:style>
  <w:style w:type="character" w:styleId="12" w:customStyle="1">
    <w:name w:val="Основной шрифт абзаца1"/>
    <w:qFormat/>
    <w:rsid w:val="00e20fd3"/>
    <w:rPr/>
  </w:style>
  <w:style w:type="character" w:styleId="13" w:customStyle="1">
    <w:name w:val="Знак Знак1"/>
    <w:qFormat/>
    <w:rsid w:val="00e20fd3"/>
    <w:rPr>
      <w:rFonts w:ascii="Courier New" w:hAnsi="Courier New" w:cs="Courier New"/>
      <w:lang w:val="ru-RU" w:bidi="ar-SA"/>
    </w:rPr>
  </w:style>
  <w:style w:type="character" w:styleId="23" w:customStyle="1">
    <w:name w:val="Знак Знак2"/>
    <w:qFormat/>
    <w:rsid w:val="00e20fd3"/>
    <w:rPr>
      <w:lang w:val="ru-RU" w:bidi="ar-SA"/>
    </w:rPr>
  </w:style>
  <w:style w:type="character" w:styleId="HTMLCode">
    <w:name w:val="HTML Code"/>
    <w:qFormat/>
    <w:rsid w:val="00e20fd3"/>
    <w:rPr>
      <w:rFonts w:ascii="Courier New" w:hAnsi="Courier New" w:cs="Courier New"/>
      <w:sz w:val="20"/>
      <w:szCs w:val="20"/>
    </w:rPr>
  </w:style>
  <w:style w:type="character" w:styleId="32" w:customStyle="1">
    <w:name w:val="Знак Знак3"/>
    <w:qFormat/>
    <w:rsid w:val="00e20fd3"/>
    <w:rPr>
      <w:sz w:val="28"/>
      <w:lang w:val="ru-RU" w:bidi="ar-SA"/>
    </w:rPr>
  </w:style>
  <w:style w:type="character" w:styleId="24" w:customStyle="1">
    <w:name w:val="Основной шрифт абзаца2"/>
    <w:qFormat/>
    <w:rsid w:val="00e20fd3"/>
    <w:rPr/>
  </w:style>
  <w:style w:type="character" w:styleId="WW8Num5z8" w:customStyle="1">
    <w:name w:val="WW8Num5z8"/>
    <w:qFormat/>
    <w:rsid w:val="00e20fd3"/>
    <w:rPr/>
  </w:style>
  <w:style w:type="character" w:styleId="WW8Num5z7" w:customStyle="1">
    <w:name w:val="WW8Num5z7"/>
    <w:qFormat/>
    <w:rsid w:val="00e20fd3"/>
    <w:rPr/>
  </w:style>
  <w:style w:type="character" w:styleId="WW8Num5z6" w:customStyle="1">
    <w:name w:val="WW8Num5z6"/>
    <w:qFormat/>
    <w:rsid w:val="00e20fd3"/>
    <w:rPr/>
  </w:style>
  <w:style w:type="character" w:styleId="WW8Num5z5" w:customStyle="1">
    <w:name w:val="WW8Num5z5"/>
    <w:qFormat/>
    <w:rsid w:val="00e20fd3"/>
    <w:rPr/>
  </w:style>
  <w:style w:type="character" w:styleId="WW8Num5z4" w:customStyle="1">
    <w:name w:val="WW8Num5z4"/>
    <w:qFormat/>
    <w:rsid w:val="00e20fd3"/>
    <w:rPr/>
  </w:style>
  <w:style w:type="character" w:styleId="WW8Num5z3" w:customStyle="1">
    <w:name w:val="WW8Num5z3"/>
    <w:qFormat/>
    <w:rsid w:val="00e20fd3"/>
    <w:rPr/>
  </w:style>
  <w:style w:type="character" w:styleId="WW8Num5z2" w:customStyle="1">
    <w:name w:val="WW8Num5z2"/>
    <w:qFormat/>
    <w:rsid w:val="00e20fd3"/>
    <w:rPr/>
  </w:style>
  <w:style w:type="character" w:styleId="WW8Num5z1" w:customStyle="1">
    <w:name w:val="WW8Num5z1"/>
    <w:qFormat/>
    <w:rsid w:val="00e20fd3"/>
    <w:rPr/>
  </w:style>
  <w:style w:type="character" w:styleId="WW8Num3z8" w:customStyle="1">
    <w:name w:val="WW8Num3z8"/>
    <w:qFormat/>
    <w:rsid w:val="00e20fd3"/>
    <w:rPr/>
  </w:style>
  <w:style w:type="character" w:styleId="WW8Num3z7" w:customStyle="1">
    <w:name w:val="WW8Num3z7"/>
    <w:qFormat/>
    <w:rsid w:val="00e20fd3"/>
    <w:rPr/>
  </w:style>
  <w:style w:type="character" w:styleId="WW8Num3z6" w:customStyle="1">
    <w:name w:val="WW8Num3z6"/>
    <w:qFormat/>
    <w:rsid w:val="00e20fd3"/>
    <w:rPr/>
  </w:style>
  <w:style w:type="character" w:styleId="WW8Num3z5" w:customStyle="1">
    <w:name w:val="WW8Num3z5"/>
    <w:qFormat/>
    <w:rsid w:val="00e20fd3"/>
    <w:rPr/>
  </w:style>
  <w:style w:type="character" w:styleId="WW8Num3z4" w:customStyle="1">
    <w:name w:val="WW8Num3z4"/>
    <w:qFormat/>
    <w:rsid w:val="00e20fd3"/>
    <w:rPr/>
  </w:style>
  <w:style w:type="character" w:styleId="WW8Num3z3" w:customStyle="1">
    <w:name w:val="WW8Num3z3"/>
    <w:qFormat/>
    <w:rsid w:val="00e20fd3"/>
    <w:rPr/>
  </w:style>
  <w:style w:type="character" w:styleId="WW8Num3z2" w:customStyle="1">
    <w:name w:val="WW8Num3z2"/>
    <w:qFormat/>
    <w:rsid w:val="00e20fd3"/>
    <w:rPr/>
  </w:style>
  <w:style w:type="character" w:styleId="WW8Num3z1" w:customStyle="1">
    <w:name w:val="WW8Num3z1"/>
    <w:qFormat/>
    <w:rsid w:val="00e20fd3"/>
    <w:rPr/>
  </w:style>
  <w:style w:type="character" w:styleId="33" w:customStyle="1">
    <w:name w:val="Основной шрифт абзаца3"/>
    <w:qFormat/>
    <w:rsid w:val="00e20fd3"/>
    <w:rPr/>
  </w:style>
  <w:style w:type="character" w:styleId="WW8Num7z2" w:customStyle="1">
    <w:name w:val="WW8Num7z2"/>
    <w:qFormat/>
    <w:rsid w:val="00e20fd3"/>
    <w:rPr>
      <w:rFonts w:ascii="Wingdings" w:hAnsi="Wingdings" w:cs="Wingdings"/>
      <w:sz w:val="20"/>
    </w:rPr>
  </w:style>
  <w:style w:type="character" w:styleId="WW8Num7z1" w:customStyle="1">
    <w:name w:val="WW8Num7z1"/>
    <w:qFormat/>
    <w:rsid w:val="00e20fd3"/>
    <w:rPr>
      <w:rFonts w:ascii="Courier New" w:hAnsi="Courier New" w:cs="Courier New"/>
      <w:sz w:val="20"/>
    </w:rPr>
  </w:style>
  <w:style w:type="character" w:styleId="WW8Num7z0" w:customStyle="1">
    <w:name w:val="WW8Num7z0"/>
    <w:qFormat/>
    <w:rsid w:val="00e20fd3"/>
    <w:rPr>
      <w:rFonts w:ascii="Symbol" w:hAnsi="Symbol" w:cs="Symbol"/>
      <w:sz w:val="20"/>
    </w:rPr>
  </w:style>
  <w:style w:type="character" w:styleId="WW8Num6z2" w:customStyle="1">
    <w:name w:val="WW8Num6z2"/>
    <w:qFormat/>
    <w:rsid w:val="00e20fd3"/>
    <w:rPr>
      <w:rFonts w:ascii="Wingdings" w:hAnsi="Wingdings" w:cs="Wingdings"/>
      <w:sz w:val="20"/>
    </w:rPr>
  </w:style>
  <w:style w:type="character" w:styleId="WW8Num6z1" w:customStyle="1">
    <w:name w:val="WW8Num6z1"/>
    <w:qFormat/>
    <w:rsid w:val="00e20fd3"/>
    <w:rPr>
      <w:rFonts w:ascii="Courier New" w:hAnsi="Courier New" w:cs="Courier New"/>
      <w:sz w:val="20"/>
    </w:rPr>
  </w:style>
  <w:style w:type="character" w:styleId="WW8Num6z0" w:customStyle="1">
    <w:name w:val="WW8Num6z0"/>
    <w:qFormat/>
    <w:rsid w:val="00e20fd3"/>
    <w:rPr>
      <w:rFonts w:ascii="Symbol" w:hAnsi="Symbol" w:cs="Symbol"/>
      <w:sz w:val="20"/>
    </w:rPr>
  </w:style>
  <w:style w:type="character" w:styleId="WW8Num5z0" w:customStyle="1">
    <w:name w:val="WW8Num5z0"/>
    <w:qFormat/>
    <w:rsid w:val="00e20fd3"/>
    <w:rPr>
      <w:rFonts w:ascii="OpenSymbol" w:hAnsi="OpenSymbol" w:eastAsia="OpenSymbol" w:cs="OpenSymbol"/>
    </w:rPr>
  </w:style>
  <w:style w:type="character" w:styleId="WW8Num4z8" w:customStyle="1">
    <w:name w:val="WW8Num4z8"/>
    <w:qFormat/>
    <w:rsid w:val="00e20fd3"/>
    <w:rPr/>
  </w:style>
  <w:style w:type="character" w:styleId="WW8Num4z7" w:customStyle="1">
    <w:name w:val="WW8Num4z7"/>
    <w:qFormat/>
    <w:rsid w:val="00e20fd3"/>
    <w:rPr/>
  </w:style>
  <w:style w:type="character" w:styleId="WW8Num4z6" w:customStyle="1">
    <w:name w:val="WW8Num4z6"/>
    <w:qFormat/>
    <w:rsid w:val="00e20fd3"/>
    <w:rPr/>
  </w:style>
  <w:style w:type="character" w:styleId="WW8Num4z5" w:customStyle="1">
    <w:name w:val="WW8Num4z5"/>
    <w:qFormat/>
    <w:rsid w:val="00e20fd3"/>
    <w:rPr/>
  </w:style>
  <w:style w:type="character" w:styleId="WW8Num4z4" w:customStyle="1">
    <w:name w:val="WW8Num4z4"/>
    <w:qFormat/>
    <w:rsid w:val="00e20fd3"/>
    <w:rPr/>
  </w:style>
  <w:style w:type="character" w:styleId="WW8Num4z3" w:customStyle="1">
    <w:name w:val="WW8Num4z3"/>
    <w:qFormat/>
    <w:rsid w:val="00e20fd3"/>
    <w:rPr/>
  </w:style>
  <w:style w:type="character" w:styleId="WW8Num4z2" w:customStyle="1">
    <w:name w:val="WW8Num4z2"/>
    <w:qFormat/>
    <w:rsid w:val="00e20fd3"/>
    <w:rPr/>
  </w:style>
  <w:style w:type="character" w:styleId="WW8Num4z1" w:customStyle="1">
    <w:name w:val="WW8Num4z1"/>
    <w:qFormat/>
    <w:rsid w:val="00e20fd3"/>
    <w:rPr/>
  </w:style>
  <w:style w:type="character" w:styleId="WW8Num4z0" w:customStyle="1">
    <w:name w:val="WW8Num4z0"/>
    <w:qFormat/>
    <w:rsid w:val="00e20fd3"/>
    <w:rPr/>
  </w:style>
  <w:style w:type="character" w:styleId="WW8Num3z0" w:customStyle="1">
    <w:name w:val="WW8Num3z0"/>
    <w:qFormat/>
    <w:rsid w:val="00e20fd3"/>
    <w:rPr>
      <w:rFonts w:ascii="OpenSymbol" w:hAnsi="OpenSymbol" w:eastAsia="OpenSymbol" w:cs="OpenSymbol"/>
    </w:rPr>
  </w:style>
  <w:style w:type="character" w:styleId="WW8Num2z8" w:customStyle="1">
    <w:name w:val="WW8Num2z8"/>
    <w:qFormat/>
    <w:rsid w:val="00e20fd3"/>
    <w:rPr/>
  </w:style>
  <w:style w:type="character" w:styleId="WW8Num2z7" w:customStyle="1">
    <w:name w:val="WW8Num2z7"/>
    <w:qFormat/>
    <w:rsid w:val="00e20fd3"/>
    <w:rPr/>
  </w:style>
  <w:style w:type="character" w:styleId="WW8Num2z6" w:customStyle="1">
    <w:name w:val="WW8Num2z6"/>
    <w:qFormat/>
    <w:rsid w:val="00e20fd3"/>
    <w:rPr/>
  </w:style>
  <w:style w:type="character" w:styleId="WW8Num2z5" w:customStyle="1">
    <w:name w:val="WW8Num2z5"/>
    <w:qFormat/>
    <w:rsid w:val="00e20fd3"/>
    <w:rPr/>
  </w:style>
  <w:style w:type="character" w:styleId="WW8Num2z4" w:customStyle="1">
    <w:name w:val="WW8Num2z4"/>
    <w:qFormat/>
    <w:rsid w:val="00e20fd3"/>
    <w:rPr/>
  </w:style>
  <w:style w:type="character" w:styleId="WW8Num2z3" w:customStyle="1">
    <w:name w:val="WW8Num2z3"/>
    <w:qFormat/>
    <w:rsid w:val="00e20fd3"/>
    <w:rPr/>
  </w:style>
  <w:style w:type="character" w:styleId="WW8Num2z2" w:customStyle="1">
    <w:name w:val="WW8Num2z2"/>
    <w:qFormat/>
    <w:rsid w:val="00e20fd3"/>
    <w:rPr/>
  </w:style>
  <w:style w:type="character" w:styleId="WW8Num2z1" w:customStyle="1">
    <w:name w:val="WW8Num2z1"/>
    <w:qFormat/>
    <w:rsid w:val="00e20fd3"/>
    <w:rPr/>
  </w:style>
  <w:style w:type="character" w:styleId="WW8Num2z0" w:customStyle="1">
    <w:name w:val="WW8Num2z0"/>
    <w:qFormat/>
    <w:rsid w:val="00e20fd3"/>
    <w:rPr>
      <w:rFonts w:ascii="Times New Roman" w:hAnsi="Times New Roman" w:eastAsia="Calibri" w:cs="Times New Roman"/>
      <w:b w:val="false"/>
      <w:bCs w:val="false"/>
      <w:i w:val="false"/>
      <w:iCs w:val="false"/>
      <w:color w:val="000000"/>
      <w:sz w:val="26"/>
      <w:szCs w:val="26"/>
    </w:rPr>
  </w:style>
  <w:style w:type="character" w:styleId="WW8Num1z8" w:customStyle="1">
    <w:name w:val="WW8Num1z8"/>
    <w:qFormat/>
    <w:rsid w:val="00e20fd3"/>
    <w:rPr/>
  </w:style>
  <w:style w:type="character" w:styleId="WW8Num1z7" w:customStyle="1">
    <w:name w:val="WW8Num1z7"/>
    <w:qFormat/>
    <w:rsid w:val="00e20fd3"/>
    <w:rPr/>
  </w:style>
  <w:style w:type="character" w:styleId="WW8Num1z6" w:customStyle="1">
    <w:name w:val="WW8Num1z6"/>
    <w:qFormat/>
    <w:rsid w:val="00e20fd3"/>
    <w:rPr/>
  </w:style>
  <w:style w:type="character" w:styleId="WW8Num1z5" w:customStyle="1">
    <w:name w:val="WW8Num1z5"/>
    <w:qFormat/>
    <w:rsid w:val="00e20fd3"/>
    <w:rPr/>
  </w:style>
  <w:style w:type="character" w:styleId="WW8Num1z4" w:customStyle="1">
    <w:name w:val="WW8Num1z4"/>
    <w:qFormat/>
    <w:rsid w:val="00e20fd3"/>
    <w:rPr/>
  </w:style>
  <w:style w:type="character" w:styleId="WW8Num1z3" w:customStyle="1">
    <w:name w:val="WW8Num1z3"/>
    <w:qFormat/>
    <w:rsid w:val="00e20fd3"/>
    <w:rPr/>
  </w:style>
  <w:style w:type="character" w:styleId="WW8Num1z2" w:customStyle="1">
    <w:name w:val="WW8Num1z2"/>
    <w:qFormat/>
    <w:rsid w:val="00e20fd3"/>
    <w:rPr/>
  </w:style>
  <w:style w:type="character" w:styleId="WW8Num1z1" w:customStyle="1">
    <w:name w:val="WW8Num1z1"/>
    <w:qFormat/>
    <w:rsid w:val="00e20fd3"/>
    <w:rPr/>
  </w:style>
  <w:style w:type="character" w:styleId="Strong">
    <w:name w:val="Strong"/>
    <w:basedOn w:val="DefaultParagraphFont"/>
    <w:uiPriority w:val="22"/>
    <w:qFormat/>
    <w:rsid w:val="003f0cc8"/>
    <w:rPr>
      <w:b/>
      <w:bCs/>
    </w:rPr>
  </w:style>
  <w:style w:type="character" w:styleId="Style26" w:customStyle="1">
    <w:name w:val="Символ нумерации"/>
    <w:qFormat/>
    <w:rsid w:val="00e03a1f"/>
    <w:rPr/>
  </w:style>
  <w:style w:type="character" w:styleId="Style27">
    <w:name w:val="Основной шрифт абзаца"/>
    <w:qFormat/>
    <w:rPr/>
  </w:style>
  <w:style w:type="paragraph" w:styleId="Style28" w:customStyle="1">
    <w:name w:val="Заголовок"/>
    <w:basedOn w:val="Normal"/>
    <w:next w:val="Style29"/>
    <w:qFormat/>
    <w:rsid w:val="00e20fd3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29">
    <w:name w:val="Body Text"/>
    <w:basedOn w:val="Normal"/>
    <w:uiPriority w:val="99"/>
    <w:unhideWhenUsed/>
    <w:rsid w:val="004656f9"/>
    <w:pPr>
      <w:spacing w:before="0" w:after="120"/>
    </w:pPr>
    <w:rPr/>
  </w:style>
  <w:style w:type="paragraph" w:styleId="Style30">
    <w:name w:val="List"/>
    <w:basedOn w:val="Style29"/>
    <w:rsid w:val="00e20fd3"/>
    <w:pPr/>
    <w:rPr>
      <w:rFonts w:cs="Arial"/>
    </w:rPr>
  </w:style>
  <w:style w:type="paragraph" w:styleId="Style31" w:customStyle="1">
    <w:name w:val="Caption"/>
    <w:basedOn w:val="Normal"/>
    <w:qFormat/>
    <w:rsid w:val="00e20fd3"/>
    <w:pPr>
      <w:suppressLineNumbers/>
      <w:spacing w:before="120" w:after="120"/>
    </w:pPr>
    <w:rPr>
      <w:rFonts w:cs="Arial"/>
      <w:i/>
      <w:iCs/>
      <w:sz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20fd3"/>
    <w:pPr/>
    <w:rPr/>
  </w:style>
  <w:style w:type="paragraph" w:styleId="NormalWeb">
    <w:name w:val="Normal (Web)"/>
    <w:basedOn w:val="Normal"/>
    <w:uiPriority w:val="99"/>
    <w:qFormat/>
    <w:rsid w:val="00e20fd3"/>
    <w:pPr>
      <w:spacing w:before="280" w:after="280"/>
    </w:pPr>
    <w:rPr>
      <w:sz w:val="24"/>
    </w:rPr>
  </w:style>
  <w:style w:type="paragraph" w:styleId="Style33">
    <w:name w:val="Body Text Indent"/>
    <w:basedOn w:val="Normal"/>
    <w:uiPriority w:val="99"/>
    <w:rsid w:val="00f27cdc"/>
    <w:pPr>
      <w:spacing w:before="0" w:after="120"/>
      <w:ind w:left="283" w:hanging="0"/>
    </w:pPr>
    <w:rPr>
      <w:rFonts w:eastAsia="Calibri"/>
      <w:sz w:val="24"/>
    </w:rPr>
  </w:style>
  <w:style w:type="paragraph" w:styleId="BodyTextIndent2">
    <w:name w:val="Body Text Indent 2"/>
    <w:basedOn w:val="Normal"/>
    <w:qFormat/>
    <w:rsid w:val="00e20fd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34" w:customStyle="1">
    <w:name w:val="Верхний и нижний колонтитулы"/>
    <w:basedOn w:val="Normal"/>
    <w:qFormat/>
    <w:rsid w:val="00e20fd3"/>
    <w:pPr/>
    <w:rPr/>
  </w:style>
  <w:style w:type="paragraph" w:styleId="Style35" w:customStyle="1">
    <w:name w:val="Header"/>
    <w:basedOn w:val="Normal"/>
    <w:uiPriority w:val="99"/>
    <w:unhideWhenUsed/>
    <w:rsid w:val="001c3fe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6" w:customStyle="1">
    <w:name w:val="Footer"/>
    <w:basedOn w:val="Normal"/>
    <w:uiPriority w:val="99"/>
    <w:unhideWhenUsed/>
    <w:rsid w:val="001c3fe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db1249"/>
    <w:pPr/>
    <w:rPr>
      <w:rFonts w:ascii="Arial" w:hAnsi="Arial" w:cs="Arial"/>
      <w:sz w:val="18"/>
      <w:szCs w:val="18"/>
    </w:rPr>
  </w:style>
  <w:style w:type="paragraph" w:styleId="Western" w:customStyle="1">
    <w:name w:val="western"/>
    <w:basedOn w:val="Normal"/>
    <w:qFormat/>
    <w:rsid w:val="00e20fd3"/>
    <w:pPr>
      <w:spacing w:before="100" w:after="100"/>
    </w:pPr>
    <w:rPr>
      <w:rFonts w:eastAsia="Calibri"/>
    </w:rPr>
  </w:style>
  <w:style w:type="paragraph" w:styleId="NoSpacing">
    <w:name w:val="No Spacing"/>
    <w:uiPriority w:val="1"/>
    <w:qFormat/>
    <w:rsid w:val="00e20fd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qFormat/>
    <w:rsid w:val="00e20f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Обычный1"/>
    <w:qFormat/>
    <w:rsid w:val="00e20fd3"/>
    <w:pPr>
      <w:widowControl w:val="false"/>
      <w:tabs>
        <w:tab w:val="left" w:pos="540" w:leader="none"/>
        <w:tab w:val="left" w:pos="709" w:leader="none"/>
      </w:tabs>
      <w:suppressAutoHyphens w:val="true"/>
      <w:bidi w:val="0"/>
      <w:spacing w:before="0" w:after="0"/>
      <w:ind w:left="540" w:hanging="360"/>
      <w:jc w:val="left"/>
    </w:pPr>
    <w:rPr>
      <w:rFonts w:ascii="Arial" w:hAnsi="Arial" w:eastAsia="Times New Roman" w:cs="Times New Roman"/>
      <w:color w:val="auto"/>
      <w:kern w:val="2"/>
      <w:sz w:val="20"/>
      <w:szCs w:val="20"/>
      <w:lang w:val="ru-RU" w:eastAsia="en-US" w:bidi="ar-SA"/>
    </w:rPr>
  </w:style>
  <w:style w:type="paragraph" w:styleId="BodyText3">
    <w:name w:val="Body Text 3"/>
    <w:basedOn w:val="Normal"/>
    <w:qFormat/>
    <w:rsid w:val="00e20fd3"/>
    <w:pPr>
      <w:spacing w:before="0" w:after="120"/>
    </w:pPr>
    <w:rPr>
      <w:sz w:val="16"/>
      <w:szCs w:val="16"/>
    </w:rPr>
  </w:style>
  <w:style w:type="paragraph" w:styleId="Tekstob" w:customStyle="1">
    <w:name w:val="tekstob"/>
    <w:basedOn w:val="Normal"/>
    <w:qFormat/>
    <w:rsid w:val="00e20fd3"/>
    <w:pPr>
      <w:spacing w:before="280" w:after="280"/>
    </w:pPr>
    <w:rPr>
      <w:sz w:val="24"/>
    </w:rPr>
  </w:style>
  <w:style w:type="paragraph" w:styleId="Style37" w:customStyle="1">
    <w:name w:val="Текст в заданном формате"/>
    <w:basedOn w:val="Normal"/>
    <w:qFormat/>
    <w:rsid w:val="00e20fd3"/>
    <w:pPr/>
    <w:rPr>
      <w:rFonts w:ascii="Liberation Mono" w:hAnsi="Liberation Mono" w:eastAsia="NSimSun" w:cs="Liberation Mono"/>
      <w:sz w:val="20"/>
      <w:szCs w:val="20"/>
    </w:rPr>
  </w:style>
  <w:style w:type="paragraph" w:styleId="Western1" w:customStyle="1">
    <w:name w:val="western1"/>
    <w:basedOn w:val="Normal"/>
    <w:qFormat/>
    <w:rsid w:val="00e20fd3"/>
    <w:pPr/>
    <w:rPr/>
  </w:style>
  <w:style w:type="paragraph" w:styleId="Bodytext" w:customStyle="1">
    <w:name w:val="Body text"/>
    <w:basedOn w:val="Normal"/>
    <w:qFormat/>
    <w:rsid w:val="00e20fd3"/>
    <w:pPr>
      <w:spacing w:lineRule="exact" w:line="365"/>
      <w:jc w:val="both"/>
    </w:pPr>
    <w:rPr>
      <w:sz w:val="31"/>
    </w:rPr>
  </w:style>
  <w:style w:type="paragraph" w:styleId="Msonormalmailrucssattributepostfix" w:customStyle="1">
    <w:name w:val="msonormal_mailru_css_attribute_postfix"/>
    <w:basedOn w:val="Normal"/>
    <w:qFormat/>
    <w:rsid w:val="00e20fd3"/>
    <w:pPr/>
    <w:rPr>
      <w:rFonts w:ascii="TimesET" w:hAnsi="TimesET" w:cs="TimesET"/>
      <w:kern w:val="2"/>
      <w:sz w:val="20"/>
      <w:szCs w:val="20"/>
    </w:rPr>
  </w:style>
  <w:style w:type="paragraph" w:styleId="P5" w:customStyle="1">
    <w:name w:val="p5"/>
    <w:qFormat/>
    <w:rsid w:val="00e20fd3"/>
    <w:pPr>
      <w:widowControl/>
      <w:suppressAutoHyphens w:val="true"/>
      <w:bidi w:val="0"/>
      <w:spacing w:before="280" w:after="28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Style38" w:customStyle="1">
    <w:name w:val="?????"/>
    <w:basedOn w:val="Normal"/>
    <w:qFormat/>
    <w:rsid w:val="00e20fd3"/>
    <w:pPr>
      <w:widowControl w:val="false"/>
      <w:spacing w:lineRule="atLeast" w:line="100"/>
    </w:pPr>
    <w:rPr>
      <w:rFonts w:ascii="Courier New" w:hAnsi="Courier New" w:cs="Courier New"/>
      <w:kern w:val="2"/>
      <w:sz w:val="20"/>
      <w:szCs w:val="20"/>
    </w:rPr>
  </w:style>
  <w:style w:type="paragraph" w:styleId="Standard" w:customStyle="1">
    <w:name w:val="Standard"/>
    <w:qFormat/>
    <w:rsid w:val="00e20fd3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TOAHeading" w:customStyle="1">
    <w:name w:val="TOA Heading"/>
    <w:basedOn w:val="1"/>
    <w:qFormat/>
    <w:rsid w:val="00e20fd3"/>
    <w:pPr>
      <w:spacing w:before="240" w:after="60"/>
    </w:pPr>
    <w:rPr>
      <w:rFonts w:ascii="Cambria" w:hAnsi="Cambria" w:cs="Cambria"/>
      <w:b/>
      <w:bCs/>
      <w:kern w:val="2"/>
      <w:sz w:val="32"/>
      <w:szCs w:val="32"/>
    </w:rPr>
  </w:style>
  <w:style w:type="paragraph" w:styleId="IntenseQuote">
    <w:name w:val="Intense Quote"/>
    <w:basedOn w:val="Normal"/>
    <w:qFormat/>
    <w:rsid w:val="00e20fd3"/>
    <w:pPr>
      <w:ind w:left="720" w:right="720" w:hanging="0"/>
    </w:pPr>
    <w:rPr>
      <w:b/>
      <w:i/>
      <w:szCs w:val="22"/>
    </w:rPr>
  </w:style>
  <w:style w:type="paragraph" w:styleId="Quote">
    <w:name w:val="Quote"/>
    <w:basedOn w:val="Normal"/>
    <w:qFormat/>
    <w:rsid w:val="00e20fd3"/>
    <w:pPr/>
    <w:rPr>
      <w:i/>
    </w:rPr>
  </w:style>
  <w:style w:type="paragraph" w:styleId="ListParagraph">
    <w:name w:val="List Paragraph"/>
    <w:basedOn w:val="Normal"/>
    <w:qFormat/>
    <w:rsid w:val="00e20fd3"/>
    <w:pPr>
      <w:widowControl w:val="false"/>
      <w:spacing w:lineRule="atLeast" w:line="100"/>
      <w:ind w:left="720" w:hanging="0"/>
    </w:pPr>
    <w:rPr>
      <w:kern w:val="2"/>
      <w:szCs w:val="20"/>
    </w:rPr>
  </w:style>
  <w:style w:type="paragraph" w:styleId="15" w:customStyle="1">
    <w:name w:val="Маркированный список1"/>
    <w:basedOn w:val="Normal"/>
    <w:qFormat/>
    <w:rsid w:val="00e20fd3"/>
    <w:pPr>
      <w:jc w:val="center"/>
    </w:pPr>
    <w:rPr>
      <w:sz w:val="26"/>
    </w:rPr>
  </w:style>
  <w:style w:type="paragraph" w:styleId="211" w:customStyle="1">
    <w:name w:val="Основной текст 21"/>
    <w:basedOn w:val="Normal"/>
    <w:qFormat/>
    <w:rsid w:val="00e20fd3"/>
    <w:pPr>
      <w:spacing w:lineRule="auto" w:line="480" w:before="0" w:after="120"/>
    </w:pPr>
    <w:rPr/>
  </w:style>
  <w:style w:type="paragraph" w:styleId="16" w:customStyle="1">
    <w:name w:val="Знак Знак1 Знак"/>
    <w:basedOn w:val="Normal"/>
    <w:qFormat/>
    <w:rsid w:val="00e20fd3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17" w:customStyle="1">
    <w:name w:val="Текст1"/>
    <w:basedOn w:val="Normal"/>
    <w:qFormat/>
    <w:rsid w:val="00e20fd3"/>
    <w:pPr/>
    <w:rPr>
      <w:rFonts w:ascii="Courier New" w:hAnsi="Courier New" w:cs="Courier New"/>
      <w:sz w:val="20"/>
      <w:szCs w:val="20"/>
    </w:rPr>
  </w:style>
  <w:style w:type="paragraph" w:styleId="Style39" w:customStyle="1">
    <w:name w:val="Знак"/>
    <w:basedOn w:val="Normal"/>
    <w:qFormat/>
    <w:rsid w:val="00e20fd3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311" w:customStyle="1">
    <w:name w:val="Основной текст с отступом 31"/>
    <w:basedOn w:val="Normal"/>
    <w:qFormat/>
    <w:rsid w:val="00e20fd3"/>
    <w:pPr>
      <w:spacing w:before="0" w:after="120"/>
      <w:ind w:left="283" w:hanging="0"/>
    </w:pPr>
    <w:rPr>
      <w:sz w:val="16"/>
      <w:szCs w:val="16"/>
    </w:rPr>
  </w:style>
  <w:style w:type="paragraph" w:styleId="212" w:customStyle="1">
    <w:name w:val="Основной текст с отступом 21"/>
    <w:basedOn w:val="Normal"/>
    <w:qFormat/>
    <w:rsid w:val="00e20fd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18" w:customStyle="1">
    <w:name w:val="Указатель1"/>
    <w:basedOn w:val="Normal"/>
    <w:qFormat/>
    <w:rsid w:val="00e20fd3"/>
    <w:pPr/>
    <w:rPr>
      <w:rFonts w:cs="Mangal"/>
    </w:rPr>
  </w:style>
  <w:style w:type="paragraph" w:styleId="19" w:customStyle="1">
    <w:name w:val="Название1"/>
    <w:basedOn w:val="Normal"/>
    <w:qFormat/>
    <w:rsid w:val="00e20fd3"/>
    <w:pPr>
      <w:spacing w:before="120" w:after="120"/>
    </w:pPr>
    <w:rPr>
      <w:rFonts w:cs="Mangal"/>
      <w:i/>
      <w:iCs/>
    </w:rPr>
  </w:style>
  <w:style w:type="paragraph" w:styleId="25" w:customStyle="1">
    <w:name w:val="Указатель2"/>
    <w:basedOn w:val="Normal"/>
    <w:qFormat/>
    <w:rsid w:val="00e20fd3"/>
    <w:pPr/>
    <w:rPr>
      <w:rFonts w:cs="Mangal"/>
    </w:rPr>
  </w:style>
  <w:style w:type="paragraph" w:styleId="26" w:customStyle="1">
    <w:name w:val="Название2"/>
    <w:basedOn w:val="Normal"/>
    <w:qFormat/>
    <w:rsid w:val="00e20fd3"/>
    <w:pPr>
      <w:spacing w:before="120" w:after="120"/>
    </w:pPr>
    <w:rPr>
      <w:rFonts w:cs="Mangal"/>
      <w:i/>
      <w:iCs/>
    </w:rPr>
  </w:style>
  <w:style w:type="paragraph" w:styleId="34" w:customStyle="1">
    <w:name w:val="Указатель3"/>
    <w:basedOn w:val="Normal"/>
    <w:qFormat/>
    <w:rsid w:val="00e20fd3"/>
    <w:pPr/>
    <w:rPr/>
  </w:style>
  <w:style w:type="paragraph" w:styleId="Caption">
    <w:name w:val="caption"/>
    <w:basedOn w:val="Normal"/>
    <w:qFormat/>
    <w:rsid w:val="00e20fd3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20fd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7FD5-B929-44D0-9140-912EDA12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Application>LibreOffice/7.0.3.1$Windows_X86_64 LibreOffice_project/d7547858d014d4cf69878db179d326fc3483e082</Application>
  <Pages>16</Pages>
  <Words>6012</Words>
  <Characters>41296</Characters>
  <CharactersWithSpaces>47331</CharactersWithSpaces>
  <Paragraphs>183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Адм.Комсомольского района ЧР  Краснов А.В.</dc:creator>
  <dc:description/>
  <dc:language>ru-RU</dc:language>
  <cp:lastModifiedBy/>
  <dcterms:modified xsi:type="dcterms:W3CDTF">2023-07-07T13:51:02Z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