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sz w:val="24"/>
          <w:szCs w:val="24"/>
        </w:rPr>
      </w:pPr>
      <w:r>
        <w:rPr>
          <w:rStyle w:val="Style14"/>
          <w:b w:val="false"/>
          <w:color w:val="000000"/>
          <w:sz w:val="24"/>
          <w:szCs w:val="24"/>
        </w:rPr>
        <w:t>Приложение N 6</w:t>
        <w:br/>
        <w:t xml:space="preserve">к </w:t>
      </w:r>
      <w:r>
        <w:fldChar w:fldCharType="begin"/>
      </w:r>
      <w:r>
        <w:rPr>
          <w:sz w:val="24"/>
          <w:b w:val="false"/>
          <w:szCs w:val="24"/>
          <w:color w:val="000000"/>
        </w:rPr>
        <w:instrText> HYPERLINK "../../../../../AppData/Local/Microsoft/Windows/Local%20Settings/Temp/Temporary%20Internet%20Files/Content.IE5/3L2JI2MT/%D0%9F%D0%BE%D1%80%D1%8F%D0%B4%D0%BE%D0%BA%20%D1%80%D0%B0%D0%B7%D1%80%D0%B0%D0%B1%D0%BE%D1%82%D0%BA%D0%B8%20%D0%BC%D1%83%D0%BD%D0%B8%D1%86%D0%B8%D0%BF%D0%B0%D0%BB%D1%8C%D0%BD%D1%8B%D1%85%20%D0%BF%D1%80%D0%BE%D0%B3%D1%80%D0%B0%D0%BC%D0%BC.doc" \l "sub_1000"</w:instrText>
      </w:r>
      <w:r>
        <w:rPr>
          <w:sz w:val="24"/>
          <w:b w:val="false"/>
          <w:szCs w:val="24"/>
          <w:color w:val="000000"/>
        </w:rPr>
        <w:fldChar w:fldCharType="separate"/>
      </w:r>
      <w:r>
        <w:rPr>
          <w:b w:val="false"/>
          <w:color w:val="000000"/>
          <w:sz w:val="24"/>
          <w:szCs w:val="24"/>
        </w:rPr>
        <w:t>Порядку</w:t>
      </w:r>
      <w:r>
        <w:rPr>
          <w:sz w:val="24"/>
          <w:b w:val="false"/>
          <w:szCs w:val="24"/>
          <w:color w:val="000000"/>
        </w:rPr>
        <w:fldChar w:fldCharType="end"/>
      </w:r>
      <w:r>
        <w:rPr>
          <w:rStyle w:val="Style14"/>
          <w:b w:val="false"/>
          <w:color w:val="000000"/>
          <w:sz w:val="24"/>
          <w:szCs w:val="24"/>
        </w:rPr>
        <w:t xml:space="preserve"> разработки и реализации</w:t>
        <w:br/>
        <w:t>муниципальных программ</w:t>
        <w:br/>
      </w:r>
      <w:r>
        <w:rPr>
          <w:rStyle w:val="Style14"/>
          <w:b w:val="false"/>
          <w:sz w:val="24"/>
          <w:szCs w:val="24"/>
        </w:rPr>
        <w:t>Аликовского</w:t>
      </w:r>
      <w:r>
        <w:rPr>
          <w:rStyle w:val="Style14"/>
          <w:b w:val="false"/>
          <w:color w:val="000000"/>
          <w:sz w:val="24"/>
          <w:szCs w:val="24"/>
        </w:rPr>
        <w:t xml:space="preserve"> </w:t>
      </w:r>
      <w:r>
        <w:rPr>
          <w:rStyle w:val="Style14"/>
          <w:b w:val="false"/>
          <w:sz w:val="24"/>
          <w:szCs w:val="24"/>
        </w:rPr>
        <w:t>муниципального округа</w:t>
      </w:r>
    </w:p>
    <w:p>
      <w:pPr>
        <w:pStyle w:val="1"/>
        <w:jc w:val="right"/>
        <w:rPr>
          <w:b/>
          <w:b/>
          <w:sz w:val="24"/>
          <w:szCs w:val="24"/>
        </w:rPr>
      </w:pPr>
      <w:r>
        <w:rPr>
          <w:b/>
          <w:sz w:val="24"/>
          <w:szCs w:val="24"/>
        </w:rPr>
      </w:r>
    </w:p>
    <w:p>
      <w:pPr>
        <w:pStyle w:val="1"/>
        <w:jc w:val="center"/>
        <w:rPr/>
      </w:pPr>
      <w:r>
        <w:rPr>
          <w:b/>
          <w:sz w:val="24"/>
          <w:szCs w:val="24"/>
        </w:rPr>
        <w:t>Отчет</w:t>
        <w:br/>
        <w:t xml:space="preserve">о реализации основных мероприятий (мероприятий) подпрограмм муниципальной программы </w:t>
      </w:r>
    </w:p>
    <w:p>
      <w:pPr>
        <w:pStyle w:val="1"/>
        <w:jc w:val="center"/>
        <w:rPr/>
      </w:pPr>
      <w:r>
        <w:rPr>
          <w:b/>
          <w:sz w:val="24"/>
          <w:szCs w:val="24"/>
        </w:rPr>
        <w:t>Аликовского муниципального округа за 2023 год</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29"/>
        <w:gridCol w:w="5344"/>
        <w:gridCol w:w="1816"/>
        <w:gridCol w:w="6780"/>
      </w:tblGrid>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rFonts w:ascii="Times New Roman" w:hAnsi="Times New Roman" w:cs="Times New Roman"/>
              </w:rPr>
            </w:pPr>
            <w:r>
              <w:rPr>
                <w:rFonts w:cs="Times New Roman" w:ascii="Times New Roman" w:hAnsi="Times New Roman"/>
              </w:rPr>
              <w:t>N пп</w:t>
            </w:r>
          </w:p>
        </w:tc>
        <w:tc>
          <w:tcPr>
            <w:tcW w:w="5344"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rFonts w:ascii="Times New Roman" w:hAnsi="Times New Roman" w:cs="Times New Roman"/>
              </w:rPr>
            </w:pPr>
            <w:r>
              <w:rPr>
                <w:rFonts w:cs="Times New Roman" w:ascii="Times New Roman" w:hAnsi="Times New Roman"/>
              </w:rPr>
              <w:t>Наименование муниципальной программы Аликовского муниципального округа (подпрограммы муниципальной программы Аликовского муниципального округа), основного мероприятия</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pPr>
            <w:r>
              <w:rPr>
                <w:rFonts w:cs="Times New Roman" w:ascii="Times New Roman" w:hAnsi="Times New Roman"/>
              </w:rPr>
              <w:t>Сведения о выполнении соответствую-щего мероприятия</w:t>
            </w:r>
            <w:r>
              <w:fldChar w:fldCharType="begin"/>
            </w:r>
            <w:r>
              <w:rPr>
                <w:b/>
                <w:bCs/>
                <w:rFonts w:cs="Times New Roman" w:ascii="Times New Roman" w:hAnsi="Times New Roman"/>
              </w:rPr>
              <w:instrText> HYPERLINK "../../Local%20Settings/Temp/Temporary%20Internet%20Files/Content.IE5/3L2JI2MT/%D0%9F%D0%BE%D1%80%D1%8F%D0%B4%D0%BE%D0%BA%20%D1%80%D0%B0%D0%B7%D1%80%D0%B0%D0%B1%D0%BE%D1%82%D0%BA%D0%B8%20%D0%BC%D1%83%D0%BD%D0%B8%D1%86%D0%B8%D0%BF%D0%B0%D0%BB%D1%8C%D0%BD%D1%8B%D1%85%20%D0%BF%D1%80%D0%BE%D0%B3%D1%80%D0%B0%D0%BC%D0%BC.doc" \l "sub_6666"</w:instrText>
            </w:r>
            <w:r>
              <w:rPr>
                <w:b/>
                <w:bCs/>
                <w:rFonts w:cs="Times New Roman" w:ascii="Times New Roman" w:hAnsi="Times New Roman"/>
              </w:rPr>
              <w:fldChar w:fldCharType="separate"/>
            </w:r>
            <w:r>
              <w:rPr>
                <w:rFonts w:cs="Times New Roman" w:ascii="Times New Roman" w:hAnsi="Times New Roman"/>
                <w:b/>
                <w:bCs/>
              </w:rPr>
              <w:t>*</w:t>
            </w:r>
            <w:r>
              <w:rPr>
                <w:b/>
                <w:bCs/>
                <w:rFonts w:cs="Times New Roman" w:ascii="Times New Roman" w:hAnsi="Times New Roman"/>
              </w:rPr>
              <w:fldChar w:fldCharType="end"/>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pPr>
            <w:r>
              <w:rPr>
                <w:rFonts w:cs="Times New Roman" w:ascii="Times New Roman" w:hAnsi="Times New Roman"/>
              </w:rPr>
              <w:t>Примечание</w:t>
            </w:r>
            <w:r>
              <w:fldChar w:fldCharType="begin"/>
            </w:r>
            <w:r>
              <w:rPr>
                <w:b/>
                <w:bCs/>
                <w:rFonts w:cs="Times New Roman" w:ascii="Times New Roman" w:hAnsi="Times New Roman"/>
              </w:rPr>
              <w:instrText> HYPERLINK "../../Local%20Settings/Temp/Temporary%20Internet%20Files/Content.IE5/3L2JI2MT/%D0%9F%D0%BE%D1%80%D1%8F%D0%B4%D0%BE%D0%BA%20%D1%80%D0%B0%D0%B7%D1%80%D0%B0%D0%B1%D0%BE%D1%82%D0%BA%D0%B8%20%D0%BC%D1%83%D0%BD%D0%B8%D1%86%D0%B8%D0%BF%D0%B0%D0%BB%D1%8C%D0%BD%D1%8B%D1%85%20%D0%BF%D1%80%D0%BE%D0%B3%D1%80%D0%B0%D0%BC%D0%BC.doc" \l "sub_7777"</w:instrText>
            </w:r>
            <w:r>
              <w:rPr>
                <w:b/>
                <w:bCs/>
                <w:rFonts w:cs="Times New Roman" w:ascii="Times New Roman" w:hAnsi="Times New Roman"/>
              </w:rPr>
              <w:fldChar w:fldCharType="separate"/>
            </w:r>
            <w:r>
              <w:rPr>
                <w:rFonts w:cs="Times New Roman" w:ascii="Times New Roman" w:hAnsi="Times New Roman"/>
                <w:b/>
                <w:bCs/>
              </w:rPr>
              <w:t>**</w:t>
            </w:r>
            <w:r>
              <w:rPr>
                <w:b/>
                <w:bCs/>
                <w:rFonts w:cs="Times New Roman" w:ascii="Times New Roman" w:hAnsi="Times New Roman"/>
              </w:rPr>
              <w:fldChar w:fldCharType="end"/>
            </w:r>
          </w:p>
        </w:tc>
      </w:tr>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rFonts w:ascii="Times New Roman" w:hAnsi="Times New Roman" w:cs="Times New Roman"/>
              </w:rPr>
            </w:pPr>
            <w:r>
              <w:rPr>
                <w:rFonts w:cs="Times New Roman" w:ascii="Times New Roman" w:hAnsi="Times New Roman"/>
              </w:rPr>
              <w:t>1</w:t>
            </w:r>
          </w:p>
        </w:tc>
        <w:tc>
          <w:tcPr>
            <w:tcW w:w="5344"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rFonts w:ascii="Times New Roman" w:hAnsi="Times New Roman" w:cs="Times New Roman"/>
              </w:rPr>
            </w:pPr>
            <w:r>
              <w:rPr>
                <w:rFonts w:cs="Times New Roman" w:ascii="Times New Roman" w:hAnsi="Times New Roman"/>
              </w:rPr>
              <w:t>2</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rFonts w:ascii="Times New Roman" w:hAnsi="Times New Roman" w:cs="Times New Roman"/>
              </w:rPr>
            </w:pPr>
            <w:r>
              <w:rPr>
                <w:rFonts w:cs="Times New Roman" w:ascii="Times New Roman" w:hAnsi="Times New Roman"/>
              </w:rPr>
              <w:t>3</w:t>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rFonts w:ascii="Times New Roman" w:hAnsi="Times New Roman" w:cs="Times New Roman"/>
              </w:rPr>
            </w:pPr>
            <w:r>
              <w:rPr>
                <w:rFonts w:cs="Times New Roman" w:ascii="Times New Roman" w:hAnsi="Times New Roman"/>
              </w:rPr>
              <w:t>4</w:t>
            </w:r>
          </w:p>
        </w:tc>
      </w:tr>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5344"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Муниципальная программа Аликовского муниципального округа "Развитие земельных и имущественных отношений"</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выполнено</w:t>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5344"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Подпрограмма 1 "Управление муниципальным имуществом "</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1.1.</w:t>
            </w:r>
          </w:p>
        </w:tc>
        <w:tc>
          <w:tcPr>
            <w:tcW w:w="5344"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Основное мероприятие 1 «Создание единой системы учета муниципального имущества Аликовского муниципального округа Чувашской Республики и муниципального имущества»</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Внедрение единой системы управления и распоряжения муниципальным имуществом Аликовского муниципального округа Чувашской Республики, обеспечивает надлежащий учет такого имущества.</w:t>
            </w:r>
          </w:p>
          <w:p>
            <w:pPr>
              <w:pStyle w:val="Style22"/>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В рамках реализации данного мероприятия сектором ведется работа по упорядочению состава имущества </w:t>
            </w:r>
            <w:r>
              <w:rPr>
                <w:rFonts w:eastAsia="Times New Roman" w:cs="Times New Roman" w:ascii="Times New Roman" w:hAnsi="Times New Roman"/>
                <w:color w:val="auto"/>
                <w:kern w:val="0"/>
                <w:sz w:val="24"/>
                <w:szCs w:val="24"/>
                <w:lang w:val="ru-RU" w:eastAsia="ru-RU" w:bidi="ar-SA"/>
              </w:rPr>
              <w:t>Аликовского муниципального округа</w:t>
            </w:r>
            <w:r>
              <w:rPr>
                <w:rFonts w:cs="Times New Roman" w:ascii="Times New Roman" w:hAnsi="Times New Roman"/>
              </w:rPr>
              <w:t xml:space="preserve"> и обеспечение его учета, признание прав имущества. Постоянно совершенствуется нормативно-правовая база.</w:t>
            </w:r>
          </w:p>
          <w:p>
            <w:pPr>
              <w:pStyle w:val="Style22"/>
              <w:widowControl w:val="false"/>
              <w:rPr>
                <w:rFonts w:ascii="Times New Roman" w:hAnsi="Times New Roman" w:cs="Times New Roman"/>
              </w:rPr>
            </w:pPr>
            <w:r>
              <w:rPr>
                <w:rFonts w:cs="Times New Roman" w:ascii="Times New Roman" w:hAnsi="Times New Roman"/>
              </w:rPr>
              <w:t>Организован учет муниципального имущества Аликовского муниципального округа Чувашской Республики, осуществляются передача имущества во владение и пользование, безвозмездные прием и передача имущества на другие уровни собственности и т.д. и достоверных сведений о его структуре и состоянии.</w:t>
            </w:r>
          </w:p>
        </w:tc>
      </w:tr>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1.2.</w:t>
            </w:r>
          </w:p>
        </w:tc>
        <w:tc>
          <w:tcPr>
            <w:tcW w:w="5344"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Основное мероприятие 2</w:t>
            </w:r>
            <w:r>
              <w:rPr/>
              <w:t xml:space="preserve"> «</w:t>
            </w:r>
            <w:r>
              <w:rPr>
                <w:rFonts w:ascii="Times New Roman" w:hAnsi="Times New Roman"/>
              </w:rPr>
              <w:t>Создание условий для максимального вовлечения в хозяйственный оборот муниципального имущества Чувашской Республики, в том числе земельных участков»</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Для более эффективного использования земельных участков, находящихся в муниципальной собственности Аликовского муниципального округа Чувашской Республики, и вовлечения их в оборот осуществляются кадастровые работы по их разделу, объединению, перераспределению.</w:t>
            </w:r>
            <w:r>
              <w:rPr/>
              <w:t xml:space="preserve"> </w:t>
            </w:r>
            <w:r>
              <w:rPr>
                <w:rFonts w:cs="Times New Roman" w:ascii="Times New Roman" w:hAnsi="Times New Roman"/>
              </w:rPr>
              <w:t>Работы проводятся в отношении земельных участков, находящихся в  муниципальной собственности Аликовского муниципального округа Чувашской Республики,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pPr>
              <w:pStyle w:val="Normal"/>
              <w:widowControl w:val="false"/>
              <w:jc w:val="both"/>
              <w:rPr>
                <w:shd w:fill="auto" w:val="clear"/>
              </w:rPr>
            </w:pPr>
            <w:r>
              <w:rPr>
                <w:sz w:val="24"/>
                <w:szCs w:val="24"/>
                <w:shd w:fill="auto" w:val="clear"/>
              </w:rPr>
              <w:t>В целях максимального вовлечения в хозяйственный оборот муниципального имущества Аликовского муниципального округа ведется баннер «Единый информационный ресурс об отдельных объектах недвижимого имущества, расположенных на территории Аликовского муниципального округа Чувашской Республики». Куда включена информация о</w:t>
            </w:r>
            <w:r>
              <w:rPr>
                <w:color w:val="FFFF00"/>
                <w:sz w:val="24"/>
                <w:szCs w:val="24"/>
                <w:shd w:fill="auto" w:val="clear"/>
              </w:rPr>
              <w:t xml:space="preserve"> </w:t>
            </w:r>
            <w:r>
              <w:rPr>
                <w:color w:val="000000"/>
                <w:sz w:val="24"/>
                <w:szCs w:val="24"/>
                <w:shd w:fill="auto" w:val="clear"/>
              </w:rPr>
              <w:t>35</w:t>
            </w:r>
            <w:r>
              <w:rPr>
                <w:color w:val="FFFF00"/>
                <w:sz w:val="24"/>
                <w:szCs w:val="24"/>
                <w:shd w:fill="000000" w:val="clear"/>
              </w:rPr>
              <w:t xml:space="preserve"> </w:t>
            </w:r>
            <w:r>
              <w:rPr>
                <w:sz w:val="24"/>
                <w:szCs w:val="24"/>
                <w:shd w:fill="auto" w:val="clear"/>
              </w:rPr>
              <w:t>земельных участках сельскохозяйственного назначения, а также о свободных от прав третьих лиц 4 объектов капитального строительства и земельных участков под ними. Единый информационный ресурс будет постоянное пополняться новыми сведениями.</w:t>
            </w:r>
          </w:p>
        </w:tc>
      </w:tr>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5344"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Подпрограмма 2 "Формирование эффективного государственного сектора экономики  Чувашской Республики"</w:t>
            </w:r>
          </w:p>
          <w:p>
            <w:pPr>
              <w:pStyle w:val="Normal"/>
              <w:widowControl w:val="false"/>
              <w:rPr/>
            </w:pPr>
            <w:r>
              <w:rPr/>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r>
      <w:tr>
        <w:trPr/>
        <w:tc>
          <w:tcPr>
            <w:tcW w:w="629"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2.1.</w:t>
            </w:r>
          </w:p>
        </w:tc>
        <w:tc>
          <w:tcPr>
            <w:tcW w:w="5344" w:type="dxa"/>
            <w:tcBorders>
              <w:top w:val="single" w:sz="4" w:space="0" w:color="000000"/>
              <w:left w:val="single" w:sz="4" w:space="0" w:color="000000"/>
              <w:bottom w:val="single" w:sz="4" w:space="0" w:color="000000"/>
              <w:right w:val="single" w:sz="4" w:space="0" w:color="000000"/>
            </w:tcBorders>
          </w:tcPr>
          <w:p>
            <w:pPr>
              <w:pStyle w:val="Style23"/>
              <w:widowControl w:val="false"/>
              <w:jc w:val="both"/>
              <w:rPr>
                <w:rFonts w:ascii="Times New Roman" w:hAnsi="Times New Roman"/>
              </w:rPr>
            </w:pPr>
            <w:r>
              <w:rPr>
                <w:rFonts w:ascii="Times New Roman" w:hAnsi="Times New Roman"/>
              </w:rPr>
              <w:t>Основное мероприятие 1</w:t>
            </w:r>
            <w:r>
              <w:rPr/>
              <w:t xml:space="preserve"> «</w:t>
            </w:r>
            <w:r>
              <w:rPr>
                <w:rFonts w:ascii="Times New Roman" w:hAnsi="Times New Roman"/>
              </w:rPr>
              <w:t>Создание эффективной системы муниципального сектора Аликовского муниципального округа Чувашской Республики»</w:t>
            </w:r>
          </w:p>
        </w:tc>
        <w:tc>
          <w:tcPr>
            <w:tcW w:w="1816"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r>
          </w:p>
        </w:tc>
        <w:tc>
          <w:tcPr>
            <w:tcW w:w="6780" w:type="dxa"/>
            <w:tcBorders>
              <w:top w:val="single" w:sz="4" w:space="0" w:color="000000"/>
              <w:left w:val="single" w:sz="4" w:space="0" w:color="000000"/>
              <w:bottom w:val="single" w:sz="4" w:space="0" w:color="000000"/>
              <w:right w:val="single" w:sz="4" w:space="0" w:color="000000"/>
            </w:tcBorders>
          </w:tcPr>
          <w:p>
            <w:pPr>
              <w:pStyle w:val="Style22"/>
              <w:widowControl w:val="false"/>
              <w:rPr>
                <w:rFonts w:ascii="Times New Roman" w:hAnsi="Times New Roman" w:cs="Times New Roman"/>
              </w:rPr>
            </w:pPr>
            <w:r>
              <w:rPr>
                <w:rFonts w:cs="Times New Roman" w:ascii="Times New Roman" w:hAnsi="Times New Roman"/>
              </w:rPr>
              <w:t xml:space="preserve">В целях создание эффективной системы муниципального сектора Аликовского муниципального округа Чувашской Республики проводится ежеквартальный мониторинг и анализ результатов финансово-хозяйственной деятельности и финансового состояния муниципальных унитарных предприятий Аликовского муниципального округа Чувашской Республики. Ежегодно утверждается Прогнозный план (программа) приватизации муниципального имущества Аликовского муниципального округа Чувашской Республики на очередной финансовый год. Так за 2023 год поступление неналоговых доходов от распоряжения имуществом и земельными ресурсами в бюджет муниципального округа составило </w:t>
            </w:r>
            <w:r>
              <w:rPr>
                <w:rFonts w:cs="Times New Roman" w:ascii="Times New Roman" w:hAnsi="Times New Roman"/>
                <w:shd w:fill="auto" w:val="clear"/>
              </w:rPr>
              <w:t xml:space="preserve">15 млн. 195 тыс. рублей, </w:t>
            </w:r>
            <w:r>
              <w:rPr>
                <w:rFonts w:cs="Times New Roman" w:ascii="Times New Roman" w:hAnsi="Times New Roman"/>
              </w:rPr>
              <w:t>что больше на 6,8% или на 970 тыс. рублей к уровню 2022 года.</w:t>
            </w:r>
          </w:p>
          <w:p>
            <w:pPr>
              <w:pStyle w:val="Style22"/>
              <w:widowControl w:val="false"/>
              <w:rPr>
                <w:rFonts w:ascii="Times New Roman" w:hAnsi="Times New Roman" w:cs="Times New Roman"/>
              </w:rPr>
            </w:pPr>
            <w:r>
              <w:rPr>
                <w:rFonts w:cs="Times New Roman" w:ascii="Times New Roman" w:hAnsi="Times New Roman"/>
              </w:rPr>
              <w:t>В том числе:</w:t>
            </w:r>
          </w:p>
          <w:p>
            <w:pPr>
              <w:pStyle w:val="Style22"/>
              <w:widowControl w:val="false"/>
              <w:rPr>
                <w:rFonts w:ascii="Times New Roman" w:hAnsi="Times New Roman" w:cs="Times New Roman"/>
              </w:rPr>
            </w:pPr>
            <w:r>
              <w:rPr>
                <w:rFonts w:cs="Times New Roman" w:ascii="Times New Roman" w:hAnsi="Times New Roman"/>
              </w:rPr>
              <w:t>- средства, поступившие в местный бюджет от аренды земли -6 млн.471 тыс. рублей;</w:t>
            </w:r>
          </w:p>
          <w:p>
            <w:pPr>
              <w:pStyle w:val="Style22"/>
              <w:widowControl w:val="false"/>
              <w:rPr>
                <w:rFonts w:ascii="Times New Roman" w:hAnsi="Times New Roman" w:cs="Times New Roman"/>
              </w:rPr>
            </w:pPr>
            <w:r>
              <w:rPr>
                <w:rFonts w:cs="Times New Roman" w:ascii="Times New Roman" w:hAnsi="Times New Roman"/>
              </w:rPr>
              <w:t>- средства, поступившие в местный бюджет от аренды муниципального имущества – 1 млн. 594 тыс. рублей;</w:t>
            </w:r>
          </w:p>
          <w:p>
            <w:pPr>
              <w:pStyle w:val="Style22"/>
              <w:widowControl w:val="false"/>
              <w:rPr>
                <w:rFonts w:ascii="Times New Roman" w:hAnsi="Times New Roman" w:cs="Times New Roman"/>
              </w:rPr>
            </w:pPr>
            <w:r>
              <w:rPr>
                <w:rFonts w:cs="Times New Roman" w:ascii="Times New Roman" w:hAnsi="Times New Roman"/>
              </w:rPr>
              <w:t>-средства, поступившие от приватизации (продажи) муниципального имущества в соответствии с Прогнозным планом (программой) приватизации – 3 млн. 262 тыс. руб.;</w:t>
            </w:r>
          </w:p>
          <w:p>
            <w:pPr>
              <w:pStyle w:val="Style22"/>
              <w:widowControl w:val="false"/>
              <w:rPr>
                <w:rFonts w:ascii="Times New Roman" w:hAnsi="Times New Roman" w:cs="Times New Roman"/>
              </w:rPr>
            </w:pPr>
            <w:r>
              <w:rPr>
                <w:rFonts w:cs="Times New Roman" w:ascii="Times New Roman" w:hAnsi="Times New Roman"/>
              </w:rPr>
              <w:t>- средства, поступившие в местный бюджет от продажи земельных участков — 3 млн. 868 тыс. рублей.</w:t>
            </w:r>
          </w:p>
        </w:tc>
      </w:tr>
    </w:tbl>
    <w:p>
      <w:pPr>
        <w:pStyle w:val="Normal"/>
        <w:rPr/>
      </w:pPr>
      <w:r>
        <w:rPr/>
      </w:r>
    </w:p>
    <w:sectPr>
      <w:type w:val="nextPage"/>
      <w:pgSz w:orient="landscape" w:w="16838" w:h="11906"/>
      <w:pgMar w:left="1134" w:right="1134" w:header="0" w:top="1701" w:footer="0" w:bottom="567"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6a9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dd6a92"/>
    <w:pPr>
      <w:keepNext w:val="true"/>
      <w:outlineLvl w:val="0"/>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dd6a92"/>
    <w:rPr>
      <w:rFonts w:ascii="Times New Roman" w:hAnsi="Times New Roman" w:eastAsia="Times New Roman" w:cs="Times New Roman"/>
      <w:sz w:val="28"/>
      <w:szCs w:val="20"/>
      <w:lang w:eastAsia="ru-RU"/>
    </w:rPr>
  </w:style>
  <w:style w:type="character" w:styleId="Style13" w:customStyle="1">
    <w:name w:val="Гипертекстовая ссылка"/>
    <w:basedOn w:val="DefaultParagraphFont"/>
    <w:uiPriority w:val="99"/>
    <w:qFormat/>
    <w:rsid w:val="00dd6a92"/>
    <w:rPr>
      <w:color w:val="106BBE"/>
    </w:rPr>
  </w:style>
  <w:style w:type="character" w:styleId="Style14" w:customStyle="1">
    <w:name w:val="Цветовое выделение"/>
    <w:uiPriority w:val="99"/>
    <w:qFormat/>
    <w:rsid w:val="00dd6a92"/>
    <w:rPr>
      <w:b/>
      <w:bCs w:val="false"/>
      <w:color w:val="000080"/>
    </w:rPr>
  </w:style>
  <w:style w:type="character" w:styleId="Style15" w:customStyle="1">
    <w:name w:val="Текст выноски Знак"/>
    <w:basedOn w:val="DefaultParagraphFont"/>
    <w:link w:val="a8"/>
    <w:uiPriority w:val="99"/>
    <w:semiHidden/>
    <w:qFormat/>
    <w:rsid w:val="00e61311"/>
    <w:rPr>
      <w:rFonts w:ascii="Tahoma" w:hAnsi="Tahoma" w:eastAsia="Times New Roman" w:cs="Tahoma"/>
      <w:sz w:val="16"/>
      <w:szCs w:val="16"/>
      <w:lang w:eastAsia="ru-RU"/>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customStyle="1">
    <w:name w:val="Нормальный (таблица)"/>
    <w:basedOn w:val="Normal"/>
    <w:next w:val="Normal"/>
    <w:uiPriority w:val="99"/>
    <w:qFormat/>
    <w:rsid w:val="00dd6a92"/>
    <w:pPr>
      <w:widowControl w:val="false"/>
      <w:jc w:val="both"/>
    </w:pPr>
    <w:rPr>
      <w:rFonts w:ascii="Arial" w:hAnsi="Arial" w:cs="Arial"/>
      <w:sz w:val="24"/>
      <w:szCs w:val="24"/>
    </w:rPr>
  </w:style>
  <w:style w:type="paragraph" w:styleId="Style23" w:customStyle="1">
    <w:name w:val="Прижатый влево"/>
    <w:basedOn w:val="Normal"/>
    <w:next w:val="Normal"/>
    <w:uiPriority w:val="99"/>
    <w:qFormat/>
    <w:rsid w:val="00dd6a92"/>
    <w:pPr/>
    <w:rPr>
      <w:rFonts w:ascii="Arial" w:hAnsi="Arial"/>
      <w:sz w:val="24"/>
      <w:szCs w:val="24"/>
    </w:rPr>
  </w:style>
  <w:style w:type="paragraph" w:styleId="Style24" w:customStyle="1">
    <w:name w:val="Таблицы (моноширинный)"/>
    <w:basedOn w:val="Normal"/>
    <w:next w:val="Normal"/>
    <w:uiPriority w:val="99"/>
    <w:qFormat/>
    <w:rsid w:val="00dd6a92"/>
    <w:pPr>
      <w:widowControl w:val="false"/>
    </w:pPr>
    <w:rPr>
      <w:rFonts w:ascii="Courier New" w:hAnsi="Courier New" w:cs="Courier New"/>
      <w:sz w:val="24"/>
      <w:szCs w:val="24"/>
    </w:rPr>
  </w:style>
  <w:style w:type="paragraph" w:styleId="BalloonText">
    <w:name w:val="Balloon Text"/>
    <w:basedOn w:val="Normal"/>
    <w:link w:val="a9"/>
    <w:uiPriority w:val="99"/>
    <w:semiHidden/>
    <w:unhideWhenUsed/>
    <w:qFormat/>
    <w:rsid w:val="00e6131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C0AB-04D6-4315-8FBF-EFDB6D78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Application>LibreOffice/7.0.1.2$Windows_x86 LibreOffice_project/7cbcfc562f6eb6708b5ff7d7397325de9e764452</Application>
  <Pages>3</Pages>
  <Words>486</Words>
  <Characters>3763</Characters>
  <CharactersWithSpaces>4231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2020-01-31T15:52:00Z</dcterms:created>
  <dc:creator>Игорь Иванов. Ефимов</dc:creator>
  <dc:description/>
  <dc:language>ru-RU</dc:language>
  <cp:lastModifiedBy/>
  <cp:lastPrinted>2020-02-03T13:13:00Z</cp:lastPrinted>
  <dcterms:modified xsi:type="dcterms:W3CDTF">2024-03-05T13:51:38Z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