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февраля 2005 г. N 160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СТЕПЕНИ ТЯЖЕСТИ ПОВРЕЖДЕНИЯ ЗДОРОВЬЯ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НЕСЧАСТНЫХ СЛУЧАЯХ НА ПРОИЗВОДСТВЕ</w:t>
      </w:r>
    </w:p>
    <w:p w:rsidR="00624ECF" w:rsidRDefault="00624ECF" w:rsidP="00624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Несчастные случаи на производстве по степени тяжести повреждения здоровья подразделяются на 2 категории: тяжелые и легкие.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Квалифицирующими признаками тяжести повреждения здоровья при несчастном случае на производстве являются: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полученных повреждений здоровья и осложнения, связанные с этими повреждениями, а также развитие и усугубление имеющихся хронических заболеваний в связи с получением повреждения;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полученных повреждений здоровья (стойкая утрата трудоспособности).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одного из квалифицирующих признаков является достаточным для установления категории тяжести несчастного случая на производстве.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тяжелого несчастного случая на производстве являются также повреждения здоровья, угрожающие жизни пострадавшего. Предотвращение смертельного исхода в результате оказания медицинской помощи не влияет на оценку тяжести полученной травмы.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>
        <w:rPr>
          <w:rFonts w:ascii="Times New Roman" w:hAnsi="Times New Roman" w:cs="Times New Roman"/>
          <w:sz w:val="28"/>
          <w:szCs w:val="28"/>
        </w:rPr>
        <w:t>3. К тяжелым несчастным случаям на производстве относятся: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повреждения здоровья, острый период которых сопровождается: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шоком;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комой;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кровопотерей (объемом более 20%);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эмболией;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острой недостаточностью функций жизненно важных органов и систем (ЦНС, сердечной, сосудистой, дыхательной, почечной, печеночной и (или) их сочетанием);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повреждения здоровья, квалифицированные при первичном осмотре пострадавшего врачами стационара, травматологического пункта или другими организациями здравоохранения как: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проникающие ранения черепа;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перелом черепа и лицевых костей;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ушиб головного мозга;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внутричерепная травма;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ранения, проникающие в просвет глотки, трахеи, пищевода, а также повреждения щитовидной и вилочковой железы;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проникающие ранения позвоночника;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переломовывихи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переломы тел или двусторонние переломы дуг I и II шейных позвонков, в том числе и без нарушения функции спинного мозга;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вывихи (в том числе подвывихи) шейных позвонков;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закрытые повреждения шейного отдела спинного мозга;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перелом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переломовывих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или нескольких грудных или поясничных позвонков, в том числе и без нарушения функции спинного мозга;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ранения грудной клетки, проникающие в плевральную полость, полость перикарда или клетчатку средостения, в том числе без повреждения внутренних органов;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ранения живота, проникающие в полость брюшины;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ранения, проникающие в полость мочевого пузыря или кишечник;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ранения органов забрюшинного пространства (почек, надпочечников, поджелудочной железы);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разрыв внутреннего органа грудной или брюшной полости или полости таза, забрюшинного пространства, разрыв диафрагмы, разрыв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предстательной железы, разрыв мочеточника, разрыв перепончатой части мочеиспускательного канала;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переломы длинных трубчатых костей - плечевой, бедренной и большеберцовой, открытые повреждения тазобедренного и коленного суставов;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повреждения магистрального кровеносного сосуда: аорты, сонной (общей, внутренней, наружной), подключичной, плечевой, бедренной, подколенной артерий или сопровождающих их вен, нервов;</w:t>
      </w:r>
      <w:proofErr w:type="gramEnd"/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термические (химические) ожоги: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- IV степени с площадью поражения, превышающей 15% поверхности тела;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степени с площадью поражения более 20% поверхности тела;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степени с площадью поражения более 30% поверхности тела;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дыхательных путей, лица и волосистой части головы;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радиационные поражения средней (от 12 Гр) степени тяжести и выше;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прерывание беременности;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повреждения, которые непосредственно не угрожают жизни пострадавшего, но являются тяжкими по последствиям: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зрения, слуха, речи;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потеря какого-либо органа или полная утрата органом его функции (при этом потеря наиболее важной в функциональном отношении части конечности (кисти или стопы) приравнивают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к потере руки или ноги);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психические расстройства;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утрата репродуктивной функции и способности к деторождению;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неизгладимое обезображивание лица.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 легким несчастным случаям на производстве относятся повреждения, не входящие в </w:t>
      </w:r>
      <w:hyperlink w:anchor="Par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Схемы.</w:t>
      </w:r>
    </w:p>
    <w:p w:rsidR="00624ECF" w:rsidRDefault="00624ECF" w:rsidP="008746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760" w:rsidRDefault="005E5760" w:rsidP="00874608">
      <w:pPr>
        <w:spacing w:after="0" w:line="360" w:lineRule="auto"/>
      </w:pPr>
    </w:p>
    <w:sectPr w:rsidR="005E5760" w:rsidSect="00765DD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4C"/>
    <w:rsid w:val="0019644C"/>
    <w:rsid w:val="005E5760"/>
    <w:rsid w:val="00624ECF"/>
    <w:rsid w:val="008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gcheb_ot1 </dc:creator>
  <cp:keywords/>
  <dc:description/>
  <cp:lastModifiedBy>gcheb_ot1 </cp:lastModifiedBy>
  <cp:revision>3</cp:revision>
  <dcterms:created xsi:type="dcterms:W3CDTF">2024-12-27T10:48:00Z</dcterms:created>
  <dcterms:modified xsi:type="dcterms:W3CDTF">2024-12-27T11:01:00Z</dcterms:modified>
</cp:coreProperties>
</file>