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F" w:rsidRDefault="00367A4F" w:rsidP="00791E2B">
      <w:pPr>
        <w:ind w:firstLine="709"/>
        <w:jc w:val="center"/>
        <w:rPr>
          <w:b/>
        </w:rPr>
      </w:pPr>
    </w:p>
    <w:p w:rsidR="00791E2B" w:rsidRPr="00591646" w:rsidRDefault="00747AC6" w:rsidP="00791E2B">
      <w:pPr>
        <w:ind w:firstLine="709"/>
        <w:jc w:val="center"/>
        <w:rPr>
          <w:b/>
        </w:rPr>
      </w:pPr>
      <w:r>
        <w:rPr>
          <w:b/>
        </w:rPr>
        <w:t xml:space="preserve">Годовой доклад по </w:t>
      </w:r>
      <w:r w:rsidR="00791E2B" w:rsidRPr="00591646">
        <w:rPr>
          <w:b/>
        </w:rPr>
        <w:t>Муниципальн</w:t>
      </w:r>
      <w:r>
        <w:rPr>
          <w:b/>
        </w:rPr>
        <w:t>ой</w:t>
      </w:r>
      <w:r w:rsidR="00791E2B" w:rsidRPr="00591646">
        <w:rPr>
          <w:b/>
        </w:rPr>
        <w:t xml:space="preserve"> программ</w:t>
      </w:r>
      <w:r>
        <w:rPr>
          <w:b/>
        </w:rPr>
        <w:t>е</w:t>
      </w:r>
      <w:r w:rsidR="00791E2B" w:rsidRPr="00591646">
        <w:rPr>
          <w:b/>
        </w:rPr>
        <w:t xml:space="preserve"> Порецкого </w:t>
      </w:r>
      <w:r>
        <w:rPr>
          <w:b/>
        </w:rPr>
        <w:t xml:space="preserve">муниципального округа </w:t>
      </w:r>
      <w:r w:rsidR="00791E2B" w:rsidRPr="00E540A8">
        <w:rPr>
          <w:b/>
        </w:rPr>
        <w:t>«</w:t>
      </w:r>
      <w:r w:rsidR="00E540A8" w:rsidRPr="00E540A8">
        <w:rPr>
          <w:b/>
        </w:rPr>
        <w:t>Развитие транспортной системы Порецкого муниципального округа</w:t>
      </w:r>
      <w:r w:rsidR="00791E2B" w:rsidRPr="00591646">
        <w:rPr>
          <w:b/>
        </w:rPr>
        <w:t>»</w:t>
      </w:r>
      <w:r>
        <w:rPr>
          <w:b/>
        </w:rPr>
        <w:t xml:space="preserve"> за 2023 год.</w:t>
      </w:r>
    </w:p>
    <w:p w:rsidR="00791E2B" w:rsidRPr="00591646" w:rsidRDefault="00791E2B" w:rsidP="00791E2B">
      <w:pPr>
        <w:spacing w:line="0" w:lineRule="atLeast"/>
        <w:ind w:firstLine="720"/>
        <w:jc w:val="both"/>
        <w:rPr>
          <w:spacing w:val="-6"/>
        </w:rPr>
      </w:pPr>
    </w:p>
    <w:p w:rsidR="00791E2B" w:rsidRPr="00591646" w:rsidRDefault="00791E2B" w:rsidP="00791E2B">
      <w:pPr>
        <w:spacing w:line="0" w:lineRule="atLeast"/>
        <w:ind w:firstLine="720"/>
        <w:jc w:val="both"/>
        <w:rPr>
          <w:bCs/>
        </w:rPr>
      </w:pPr>
      <w:r w:rsidRPr="00591646">
        <w:rPr>
          <w:spacing w:val="-6"/>
        </w:rPr>
        <w:t>Муниципальная программа  Порецкого</w:t>
      </w:r>
      <w:r w:rsidR="00E540A8">
        <w:rPr>
          <w:spacing w:val="-6"/>
        </w:rPr>
        <w:t xml:space="preserve"> </w:t>
      </w:r>
      <w:r w:rsidR="00914AFC">
        <w:rPr>
          <w:spacing w:val="-6"/>
        </w:rPr>
        <w:t>муниципального округа</w:t>
      </w:r>
      <w:r w:rsidRPr="00591646">
        <w:rPr>
          <w:spacing w:val="-6"/>
        </w:rPr>
        <w:t xml:space="preserve"> </w:t>
      </w:r>
      <w:r w:rsidRPr="00E540A8">
        <w:rPr>
          <w:spacing w:val="-6"/>
        </w:rPr>
        <w:t>«</w:t>
      </w:r>
      <w:r w:rsidR="00E540A8" w:rsidRPr="00E540A8">
        <w:t>Развитие транспортной системы Порецкого муниципального округа</w:t>
      </w:r>
      <w:r w:rsidRPr="00E540A8">
        <w:rPr>
          <w:spacing w:val="-6"/>
        </w:rPr>
        <w:t>»</w:t>
      </w:r>
      <w:r w:rsidRPr="00E540A8">
        <w:rPr>
          <w:bCs/>
        </w:rPr>
        <w:t xml:space="preserve"> утверждена постановлением администрации района от  </w:t>
      </w:r>
      <w:r w:rsidRPr="00E540A8">
        <w:t>2</w:t>
      </w:r>
      <w:r w:rsidR="00914AFC" w:rsidRPr="00E540A8">
        <w:t>2</w:t>
      </w:r>
      <w:r w:rsidRPr="00E540A8">
        <w:t>.02.20</w:t>
      </w:r>
      <w:r w:rsidR="00914AFC" w:rsidRPr="00E540A8">
        <w:t>23</w:t>
      </w:r>
      <w:r w:rsidRPr="00E540A8">
        <w:t xml:space="preserve"> № </w:t>
      </w:r>
      <w:r w:rsidR="00914AFC" w:rsidRPr="00E540A8">
        <w:t>164</w:t>
      </w:r>
      <w:r w:rsidRPr="00E540A8">
        <w:rPr>
          <w:bCs/>
        </w:rPr>
        <w:t>.</w:t>
      </w:r>
    </w:p>
    <w:p w:rsidR="00791E2B" w:rsidRDefault="00791E2B" w:rsidP="00791E2B">
      <w:pPr>
        <w:widowControl w:val="0"/>
        <w:autoSpaceDE w:val="0"/>
        <w:autoSpaceDN w:val="0"/>
        <w:adjustRightInd w:val="0"/>
        <w:ind w:firstLine="709"/>
        <w:jc w:val="both"/>
      </w:pPr>
      <w:r w:rsidRPr="00591646">
        <w:t>Муниципальная программа «</w:t>
      </w:r>
      <w:r w:rsidR="00E540A8" w:rsidRPr="0074625F">
        <w:t xml:space="preserve">Развитие транспортной системы Порецкого </w:t>
      </w:r>
      <w:r w:rsidR="00E540A8">
        <w:t>муниципального округа</w:t>
      </w:r>
      <w:r w:rsidRPr="00591646">
        <w:t>» (далее - Муниципальная программа) направлена на достижение следующих целей:</w:t>
      </w:r>
    </w:p>
    <w:p w:rsidR="00914AFC" w:rsidRDefault="00E9599B" w:rsidP="00E9599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- формирование развитой сети автомобильных дорог и обеспечения доступности для населения безопасных и качественных транспортных услуг, способствующих повышению конкурентоспособности Порецкого муниципального округа.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достижение к 2036 году следующих показателей: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общая протяженность автомобильных дорог общего пользования местного значения на территории  Порецкого муниципального округа – 249,8 км, в том числе: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автомобильные дороги общего пользования местного значения вне границ населенных пунктов в границах муниципального округа – 87,2 км;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автомобильные дороги общего пользования местного значения в границах населенных пунктов поселения – 162,6 км;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общая протяженность автомобильных дорог общего пользования местного значения на территории Порецкого муниципального округа, соответствующая нормативным требованиям к их транспортно-эксплуатационному состоянию 91 км, в том числе: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автомобильные дороги общего пользования местного значения вне границ населенных пунктов в границах муниципального округа, соответствующая нормативным требованиям к их транспортно-эксплуатационному состоянию – 59 км;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 xml:space="preserve">автомобильные дороги общего пользования местного значения в границах населенных пунктов поселения, </w:t>
      </w:r>
      <w:proofErr w:type="gramStart"/>
      <w:r w:rsidRPr="00F56A37">
        <w:t>соответствующая</w:t>
      </w:r>
      <w:proofErr w:type="gramEnd"/>
      <w:r w:rsidRPr="00F56A37">
        <w:t xml:space="preserve"> нормативным требованиям к их транспортно-эксплуатационному состоянию – 32 км;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доля протяженности автомобильных дорог общего пользования местного значения на территории Порецкого муниципального округа, соответствующая нормативным требованиям к их транспортно-эксплуатационному состоянию – 36,4 процентов, в том числе: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доля протяженности автомобильных дорог общего пользования местного значения вне границ населенных пунктов в границах муниципального округа соответствующая нормативным требованиям к их транспортно-эксплуатационному состоянию – 67,6 процентов;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 – 19,7 процентов;</w:t>
      </w:r>
    </w:p>
    <w:p w:rsidR="00E9599B" w:rsidRPr="00F56A37" w:rsidRDefault="00E9599B" w:rsidP="00E9599B">
      <w:pPr>
        <w:ind w:firstLine="851"/>
      </w:pPr>
      <w:r>
        <w:t xml:space="preserve">- </w:t>
      </w:r>
      <w:r w:rsidRPr="00F56A37"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– 13/3250 шт./кв</w:t>
      </w:r>
      <w:proofErr w:type="gramStart"/>
      <w:r w:rsidRPr="00F56A37">
        <w:t>.м</w:t>
      </w:r>
      <w:proofErr w:type="gramEnd"/>
      <w:r w:rsidRPr="00F56A37">
        <w:t>;</w:t>
      </w:r>
    </w:p>
    <w:p w:rsidR="00E9599B" w:rsidRPr="00591646" w:rsidRDefault="00E9599B" w:rsidP="00E9599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F56A37">
        <w:t>0 погибших на 100 тыс. населения</w:t>
      </w:r>
      <w:r>
        <w:t>.</w:t>
      </w:r>
    </w:p>
    <w:p w:rsidR="00791E2B" w:rsidRDefault="00791E2B" w:rsidP="00791E2B">
      <w:pPr>
        <w:widowControl w:val="0"/>
        <w:autoSpaceDE w:val="0"/>
        <w:autoSpaceDN w:val="0"/>
        <w:adjustRightInd w:val="0"/>
        <w:ind w:firstLine="709"/>
        <w:jc w:val="both"/>
      </w:pPr>
      <w:r w:rsidRPr="00591646">
        <w:t xml:space="preserve">Муниципальной программы предусматривают </w:t>
      </w:r>
      <w:r w:rsidR="00914AFC">
        <w:t>три</w:t>
      </w:r>
      <w:r w:rsidRPr="00591646">
        <w:t xml:space="preserve"> этапа реализации:</w:t>
      </w:r>
    </w:p>
    <w:p w:rsidR="0041668A" w:rsidRPr="00F56A37" w:rsidRDefault="0041668A" w:rsidP="0041668A">
      <w:pPr>
        <w:widowControl w:val="0"/>
        <w:autoSpaceDE w:val="0"/>
        <w:autoSpaceDN w:val="0"/>
        <w:adjustRightInd w:val="0"/>
      </w:pPr>
      <w:r w:rsidRPr="00F56A37">
        <w:t>I этап - 2023 - 2025 годы;</w:t>
      </w:r>
    </w:p>
    <w:p w:rsidR="0041668A" w:rsidRDefault="0041668A" w:rsidP="0041668A">
      <w:pPr>
        <w:widowControl w:val="0"/>
        <w:autoSpaceDE w:val="0"/>
        <w:autoSpaceDN w:val="0"/>
        <w:adjustRightInd w:val="0"/>
      </w:pPr>
      <w:r w:rsidRPr="00F56A37">
        <w:t>II этап - 2026 - 203</w:t>
      </w:r>
      <w:r>
        <w:t>0</w:t>
      </w:r>
      <w:r w:rsidRPr="00F56A37">
        <w:t> годы</w:t>
      </w:r>
      <w:r>
        <w:t>;</w:t>
      </w:r>
    </w:p>
    <w:p w:rsidR="00914AFC" w:rsidRPr="003E1616" w:rsidRDefault="0041668A" w:rsidP="0041668A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>
        <w:rPr>
          <w:lang w:val="en-US"/>
        </w:rPr>
        <w:t>III</w:t>
      </w:r>
      <w:r w:rsidRPr="00B97DD1">
        <w:t xml:space="preserve"> </w:t>
      </w:r>
      <w:r>
        <w:t>этап – 2031-2035 годы</w:t>
      </w:r>
    </w:p>
    <w:p w:rsidR="00914AFC" w:rsidRPr="0041668A" w:rsidRDefault="00914AFC" w:rsidP="00914AFC">
      <w:pPr>
        <w:widowControl w:val="0"/>
        <w:autoSpaceDE w:val="0"/>
        <w:autoSpaceDN w:val="0"/>
        <w:adjustRightInd w:val="0"/>
        <w:jc w:val="both"/>
      </w:pPr>
      <w:r w:rsidRPr="0041668A">
        <w:t xml:space="preserve">По программе </w:t>
      </w:r>
      <w:r w:rsidRPr="0041668A">
        <w:rPr>
          <w:spacing w:val="-6"/>
        </w:rPr>
        <w:t>«</w:t>
      </w:r>
      <w:r w:rsidR="0041668A" w:rsidRPr="0041668A">
        <w:t>Развитие транспортной системы Порецкого муниципального округа</w:t>
      </w:r>
      <w:r w:rsidRPr="0041668A">
        <w:rPr>
          <w:spacing w:val="-6"/>
        </w:rPr>
        <w:t>» Порецкого муниципального округа Чувашской Республики</w:t>
      </w:r>
    </w:p>
    <w:p w:rsidR="006909E0" w:rsidRPr="0041668A" w:rsidRDefault="00914AFC" w:rsidP="00914AFC">
      <w:pPr>
        <w:pStyle w:val="a7"/>
        <w:jc w:val="both"/>
      </w:pPr>
      <w:r w:rsidRPr="0041668A">
        <w:lastRenderedPageBreak/>
        <w:t>объемы финансирования мероприятий Муниципальной программы</w:t>
      </w:r>
      <w:r w:rsidR="0041668A" w:rsidRPr="0041668A">
        <w:t xml:space="preserve"> </w:t>
      </w:r>
      <w:r w:rsidRPr="0041668A">
        <w:t>в 2023 году</w:t>
      </w:r>
      <w:r w:rsidR="006909E0" w:rsidRPr="0041668A">
        <w:t>:</w:t>
      </w:r>
    </w:p>
    <w:p w:rsidR="00914AFC" w:rsidRPr="0041668A" w:rsidRDefault="006909E0" w:rsidP="00914AFC">
      <w:pPr>
        <w:pStyle w:val="a7"/>
        <w:jc w:val="both"/>
      </w:pPr>
      <w:r w:rsidRPr="0041668A">
        <w:t xml:space="preserve">всего </w:t>
      </w:r>
      <w:r w:rsidR="0041668A" w:rsidRPr="0041668A">
        <w:t>32</w:t>
      </w:r>
      <w:r w:rsidR="00914AFC" w:rsidRPr="0041668A">
        <w:t xml:space="preserve"> </w:t>
      </w:r>
      <w:r w:rsidR="0041668A" w:rsidRPr="0041668A">
        <w:t>350</w:t>
      </w:r>
      <w:r w:rsidR="00914AFC" w:rsidRPr="0041668A">
        <w:t>,</w:t>
      </w:r>
      <w:r w:rsidR="0041668A" w:rsidRPr="0041668A">
        <w:t>2</w:t>
      </w:r>
      <w:r w:rsidR="00914AFC" w:rsidRPr="0041668A">
        <w:t> тыс. рублей;</w:t>
      </w:r>
    </w:p>
    <w:p w:rsidR="00914AFC" w:rsidRPr="0041668A" w:rsidRDefault="00914AFC" w:rsidP="00914AFC">
      <w:pPr>
        <w:pStyle w:val="a7"/>
        <w:jc w:val="both"/>
      </w:pPr>
      <w:r w:rsidRPr="0041668A">
        <w:t>из них:</w:t>
      </w:r>
    </w:p>
    <w:p w:rsidR="00914AFC" w:rsidRPr="00E920B3" w:rsidRDefault="00914AFC" w:rsidP="006909E0">
      <w:pPr>
        <w:pStyle w:val="a7"/>
        <w:jc w:val="both"/>
      </w:pPr>
      <w:r w:rsidRPr="00E920B3">
        <w:t xml:space="preserve">средства республиканского бюджета Чувашской Республики – </w:t>
      </w:r>
      <w:r w:rsidR="00E920B3" w:rsidRPr="00E920B3">
        <w:t>27399</w:t>
      </w:r>
      <w:r w:rsidRPr="00E920B3">
        <w:t>,</w:t>
      </w:r>
      <w:r w:rsidR="00E920B3" w:rsidRPr="00E920B3">
        <w:t>6 тыс. рублей</w:t>
      </w:r>
      <w:r w:rsidRPr="00E920B3">
        <w:t xml:space="preserve">, </w:t>
      </w:r>
    </w:p>
    <w:p w:rsidR="00914AFC" w:rsidRPr="00E920B3" w:rsidRDefault="00914AFC" w:rsidP="006909E0">
      <w:pPr>
        <w:pStyle w:val="a7"/>
        <w:jc w:val="both"/>
      </w:pPr>
      <w:r w:rsidRPr="00E920B3">
        <w:t xml:space="preserve">средства местных бюджетов – </w:t>
      </w:r>
      <w:r w:rsidR="00E920B3" w:rsidRPr="00E920B3">
        <w:t>4950</w:t>
      </w:r>
      <w:r w:rsidRPr="00E920B3">
        <w:t>,</w:t>
      </w:r>
      <w:r w:rsidR="00E920B3" w:rsidRPr="00E920B3">
        <w:t>6</w:t>
      </w:r>
      <w:r w:rsidRPr="00E920B3">
        <w:t> тыс. рублей</w:t>
      </w:r>
      <w:r w:rsidR="00E920B3" w:rsidRPr="00E920B3">
        <w:t>.</w:t>
      </w:r>
      <w:r w:rsidRPr="00E920B3">
        <w:t xml:space="preserve"> </w:t>
      </w:r>
    </w:p>
    <w:p w:rsidR="00D87EB7" w:rsidRDefault="00D87EB7" w:rsidP="00D87EB7">
      <w:pPr>
        <w:widowControl w:val="0"/>
        <w:pBdr>
          <w:bottom w:val="single" w:sz="4" w:space="31" w:color="FFFFFF"/>
        </w:pBdr>
        <w:jc w:val="both"/>
        <w:rPr>
          <w:b/>
        </w:rPr>
      </w:pPr>
    </w:p>
    <w:p w:rsidR="00791E2B" w:rsidRPr="00D87EB7" w:rsidRDefault="00791E2B" w:rsidP="00D87EB7">
      <w:pPr>
        <w:widowControl w:val="0"/>
        <w:pBdr>
          <w:bottom w:val="single" w:sz="4" w:space="31" w:color="FFFFFF"/>
        </w:pBdr>
        <w:jc w:val="both"/>
        <w:rPr>
          <w:b/>
        </w:rPr>
      </w:pPr>
    </w:p>
    <w:p w:rsidR="00791E2B" w:rsidRPr="00591646" w:rsidRDefault="00791E2B" w:rsidP="00791E2B">
      <w:pPr>
        <w:pStyle w:val="a3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591646">
        <w:rPr>
          <w:b/>
        </w:rPr>
        <w:t>Предложения по дальнейшей реализации муниципальной программы</w:t>
      </w:r>
    </w:p>
    <w:p w:rsidR="00791E2B" w:rsidRPr="00591646" w:rsidRDefault="00791E2B" w:rsidP="00791E2B">
      <w:pPr>
        <w:pStyle w:val="a3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</w:p>
    <w:p w:rsidR="00791E2B" w:rsidRPr="00591646" w:rsidRDefault="00791E2B" w:rsidP="00791E2B">
      <w:pPr>
        <w:pStyle w:val="a3"/>
        <w:widowControl w:val="0"/>
        <w:pBdr>
          <w:bottom w:val="single" w:sz="4" w:space="31" w:color="FFFFFF"/>
        </w:pBdr>
        <w:ind w:left="0" w:firstLine="567"/>
        <w:jc w:val="both"/>
      </w:pPr>
      <w:r w:rsidRPr="00591646">
        <w:t xml:space="preserve">         Принимая во внимание, что основные мероприятия муниципальной </w:t>
      </w:r>
      <w:hyperlink r:id="rId4" w:history="1">
        <w:r w:rsidRPr="00591646">
          <w:t>программы</w:t>
        </w:r>
      </w:hyperlink>
      <w:r w:rsidRPr="00591646">
        <w:t xml:space="preserve"> в 202</w:t>
      </w:r>
      <w:r w:rsidR="00DA01B6">
        <w:t>3</w:t>
      </w:r>
      <w:r w:rsidRPr="00591646">
        <w:t xml:space="preserve">  году  выполнены,  значения целевых индикаторов (показателей) в целом достигнуты, считаем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</w:t>
      </w:r>
      <w:r w:rsidR="00DA01B6">
        <w:t>4</w:t>
      </w:r>
      <w:r w:rsidRPr="00591646">
        <w:t xml:space="preserve"> году.</w:t>
      </w:r>
    </w:p>
    <w:sectPr w:rsidR="00791E2B" w:rsidRPr="00591646" w:rsidSect="0075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3F1F"/>
    <w:rsid w:val="00027D87"/>
    <w:rsid w:val="002717B1"/>
    <w:rsid w:val="00367A4F"/>
    <w:rsid w:val="003E1616"/>
    <w:rsid w:val="0041668A"/>
    <w:rsid w:val="00503F1F"/>
    <w:rsid w:val="006909E0"/>
    <w:rsid w:val="006A08F4"/>
    <w:rsid w:val="00747AC6"/>
    <w:rsid w:val="007570BA"/>
    <w:rsid w:val="00791E2B"/>
    <w:rsid w:val="00914AFC"/>
    <w:rsid w:val="00965DBA"/>
    <w:rsid w:val="00D44EC9"/>
    <w:rsid w:val="00D87EB7"/>
    <w:rsid w:val="00DA01B6"/>
    <w:rsid w:val="00E540A8"/>
    <w:rsid w:val="00E920B3"/>
    <w:rsid w:val="00E9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7A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791E2B"/>
    <w:pPr>
      <w:ind w:left="720"/>
      <w:contextualSpacing/>
    </w:p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791E2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47A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47AC6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47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47AC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FD0F516530F7677BE9AC6538F221A904DB9D8D50CB855875EC7CC1668039D1B2A8B88FBCBEDF97A9693CqC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mio1</cp:lastModifiedBy>
  <cp:revision>2</cp:revision>
  <dcterms:created xsi:type="dcterms:W3CDTF">2024-03-27T15:11:00Z</dcterms:created>
  <dcterms:modified xsi:type="dcterms:W3CDTF">2024-03-27T15:11:00Z</dcterms:modified>
</cp:coreProperties>
</file>