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8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1094"/>
        <w:gridCol w:w="131"/>
        <w:gridCol w:w="4242"/>
      </w:tblGrid>
      <w:tr>
        <w:trPr>
          <w:trHeight w:val="542" w:hRule="atLeast"/>
          <w:cantSplit w:val="true"/>
        </w:trPr>
        <w:tc>
          <w:tcPr>
            <w:tcW w:w="4014" w:type="dxa"/>
            <w:tcBorders/>
            <w:shd w:fill="auto" w:val="clear"/>
          </w:tcPr>
          <w:p>
            <w:pPr>
              <w:pStyle w:val="Style22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lang w:val="zxx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lang w:val="zxx"/>
              </w:rPr>
              <w:t>ЧĂВАШ РЕСПУБЛИКИ</w:t>
            </w:r>
          </w:p>
          <w:p>
            <w:pPr>
              <w:pStyle w:val="Style22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25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2"/>
                <w:lang w:val="ru-RU" w:eastAsia="ru-RU"/>
              </w:rPr>
            </w:pPr>
            <w:r>
              <w:rPr>
                <w:sz w:val="26"/>
                <w:szCs w:val="22"/>
                <w:lang w:val="ru-RU" w:eastAsia="ru-RU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-83820</wp:posOffset>
                  </wp:positionV>
                  <wp:extent cx="735965" cy="730885"/>
                  <wp:effectExtent l="0" t="0" r="0" b="0"/>
                  <wp:wrapTopAndBottom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2" t="-12" r="-12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  <w:tcBorders/>
            <w:shd w:fill="auto" w:val="clear"/>
          </w:tcPr>
          <w:p>
            <w:pPr>
              <w:pStyle w:val="Style22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lang w:val="zxx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lang w:val="zxx"/>
              </w:rPr>
              <w:t>ЧУВАШСКАЯ РЕСПУБЛИКА</w:t>
            </w:r>
          </w:p>
          <w:p>
            <w:pPr>
              <w:pStyle w:val="Style22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lang w:val="zxx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lang w:val="zxx"/>
              </w:rPr>
            </w:r>
          </w:p>
        </w:tc>
      </w:tr>
      <w:tr>
        <w:trPr>
          <w:trHeight w:val="2062" w:hRule="atLeast"/>
          <w:cantSplit w:val="true"/>
        </w:trPr>
        <w:tc>
          <w:tcPr>
            <w:tcW w:w="4014" w:type="dxa"/>
            <w:tcBorders/>
            <w:shd w:fill="auto" w:val="clear"/>
          </w:tcPr>
          <w:p>
            <w:pPr>
              <w:pStyle w:val="Normal"/>
              <w:jc w:val="center"/>
              <w:rPr>
                <w:rFonts w:eastAsia="Times New Roman" w:cs="Times New Roman"/>
                <w:b/>
                <w:b/>
                <w:bCs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lang w:eastAsia="ar-SA" w:bidi="ar-SA"/>
              </w:rPr>
              <w:t>ЕТĔРНЕ</w:t>
            </w:r>
          </w:p>
          <w:p>
            <w:pPr>
              <w:pStyle w:val="Normal"/>
              <w:jc w:val="center"/>
              <w:rPr>
                <w:rFonts w:eastAsia="Times New Roman" w:cs="Times New Roman"/>
                <w:b/>
                <w:b/>
                <w:bCs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lang w:eastAsia="ar-SA" w:bidi="ar-SA"/>
              </w:rPr>
              <w:t>МУНИЦИПАЛЛӐ ОКРУГĚН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lang w:eastAsia="ar-SA" w:bidi="ar-SA"/>
              </w:rPr>
              <w:t>АДМИНИСТРАЦИЙ</w:t>
            </w:r>
            <w:r>
              <w:rPr>
                <w:rFonts w:cs="Times New Roman"/>
                <w:b/>
                <w:bCs/>
                <w:color w:val="000000"/>
                <w:lang w:val="zxx"/>
              </w:rPr>
              <w:t>Ě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Style w:val="Style15"/>
                <w:rFonts w:cs="Times New Roman"/>
                <w:color w:val="000000"/>
                <w:sz w:val="26"/>
                <w:szCs w:val="26"/>
                <w:lang w:val="zxx"/>
              </w:rPr>
              <w:t>ЙЫШӐНУ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2"/>
              <w:ind w:left="0" w:right="-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lang w:eastAsia="ar-SA" w:bidi="ar-SA"/>
              </w:rPr>
              <w:t>26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val="zxx" w:eastAsia="ar-SA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eastAsia="ar-SA" w:bidi="ar-SA"/>
              </w:rPr>
              <w:t>06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val="zxx" w:eastAsia="ar-SA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eastAsia="ar-SA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val="zxx" w:eastAsia="ar-SA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eastAsia="ar-SA" w:bidi="ar-SA"/>
              </w:rPr>
              <w:t xml:space="preserve"> 627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26"/>
                <w:lang w:val="zxx"/>
              </w:rPr>
              <w:t>Ет</w:t>
            </w:r>
            <w:r>
              <w:rPr>
                <w:rFonts w:eastAsia="Times New Roman" w:cs="Times New Roman"/>
                <w:color w:val="000000"/>
                <w:sz w:val="26"/>
                <w:lang w:val="zxx"/>
              </w:rPr>
              <w:t>ĕ</w:t>
            </w:r>
            <w:r>
              <w:rPr>
                <w:rFonts w:cs="Times New Roman"/>
                <w:color w:val="000000"/>
                <w:sz w:val="26"/>
                <w:lang w:val="zxx"/>
              </w:rPr>
              <w:t>рне хули</w:t>
            </w:r>
          </w:p>
        </w:tc>
        <w:tc>
          <w:tcPr>
            <w:tcW w:w="1225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42" w:type="dxa"/>
            <w:tcBorders/>
            <w:shd w:fill="auto" w:val="clear"/>
          </w:tcPr>
          <w:p>
            <w:pPr>
              <w:pStyle w:val="Normal"/>
              <w:spacing w:lineRule="auto" w:line="192" w:before="80" w:after="0"/>
              <w:jc w:val="center"/>
              <w:rPr>
                <w:rFonts w:eastAsia="Times New Roman" w:cs="Times New Roman"/>
                <w:b/>
                <w:b/>
                <w:lang w:eastAsia="ar-SA" w:bidi="ar-SA"/>
              </w:rPr>
            </w:pPr>
            <w:r>
              <w:rPr>
                <w:rFonts w:eastAsia="Times New Roman" w:cs="Times New Roman"/>
                <w:b/>
                <w:lang w:eastAsia="ar-SA" w:bidi="ar-SA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ЯДРИНСКОГО </w:t>
            </w:r>
            <w:r>
              <w:rPr>
                <w:rFonts w:eastAsia="Times New Roman" w:cs="Times New Roman"/>
                <w:b/>
                <w:lang w:eastAsia="ar-SA" w:bidi="ar-SA"/>
              </w:rPr>
              <w:t>МУНИЦИПАЛЬНОГО ОКРУГА</w:t>
            </w:r>
          </w:p>
          <w:p>
            <w:pPr>
              <w:pStyle w:val="Style22"/>
              <w:spacing w:lineRule="auto" w:line="19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yle22"/>
              <w:spacing w:lineRule="auto" w:line="192"/>
              <w:jc w:val="center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lang w:eastAsia="ar-SA" w:bidi="ar-SA"/>
              </w:rPr>
              <w:t>ПОСТАНОВЛЕНИ</w:t>
            </w:r>
            <w:r>
              <w:rPr>
                <w:rStyle w:val="Style15"/>
                <w:rFonts w:cs="Times New Roman" w:ascii="Times New Roman" w:hAnsi="Times New Roman"/>
                <w:color w:val="000000"/>
                <w:sz w:val="26"/>
                <w:lang w:val="zxx"/>
              </w:rPr>
              <w:t>Е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22"/>
              <w:ind w:left="0" w:right="-3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lang w:eastAsia="ar-SA" w:bidi="ar-SA"/>
              </w:rPr>
              <w:t>26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val="zxx" w:eastAsia="ar-SA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eastAsia="ar-SA" w:bidi="ar-SA"/>
              </w:rPr>
              <w:t>06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val="zxx" w:eastAsia="ar-SA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eastAsia="ar-SA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val="zxx" w:eastAsia="ar-SA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lang w:eastAsia="ar-SA" w:bidi="ar-SA"/>
              </w:rPr>
              <w:t xml:space="preserve"> 627</w:t>
            </w:r>
          </w:p>
          <w:p>
            <w:pPr>
              <w:pStyle w:val="Normal"/>
              <w:ind w:left="148" w:right="0" w:hanging="0"/>
              <w:jc w:val="center"/>
              <w:rPr>
                <w:sz w:val="26"/>
                <w:lang w:val="zxx"/>
              </w:rPr>
            </w:pPr>
            <w:r>
              <w:rPr>
                <w:sz w:val="26"/>
                <w:lang w:val="zxx"/>
              </w:rPr>
              <w:t>город Ядрин</w:t>
            </w:r>
          </w:p>
        </w:tc>
      </w:tr>
      <w:tr>
        <w:trPr>
          <w:trHeight w:val="645" w:hRule="atLeast"/>
        </w:trPr>
        <w:tc>
          <w:tcPr>
            <w:tcW w:w="510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cs="Times New Roman"/>
                <w:bCs/>
                <w:color w:val="000000"/>
                <w:sz w:val="25"/>
                <w:szCs w:val="25"/>
                <w:lang w:eastAsia="zxx" w:bidi="zxx"/>
              </w:rPr>
            </w:pPr>
            <w:r>
              <w:rPr>
                <w:rFonts w:cs="Times New Roman"/>
                <w:bCs/>
                <w:color w:val="000000"/>
                <w:sz w:val="25"/>
                <w:szCs w:val="25"/>
                <w:lang w:eastAsia="zxx" w:bidi="zxx"/>
              </w:rPr>
            </w:r>
          </w:p>
          <w:p>
            <w:pPr>
              <w:pStyle w:val="Normal"/>
              <w:ind w:left="-108" w:right="0" w:hanging="0"/>
              <w:jc w:val="both"/>
              <w:rPr/>
            </w:pPr>
            <w:r>
              <w:rPr>
                <w:rFonts w:cs="Times New Roman"/>
                <w:b/>
                <w:bCs/>
                <w:color w:val="000000"/>
                <w:sz w:val="25"/>
                <w:szCs w:val="25"/>
                <w:lang w:eastAsia="zxx" w:bidi="zxx"/>
              </w:rPr>
              <w:t>О внесении изменений в постановление Ядринской районной  администрации Чувашской Республики от 15 февраля 2018 года № 102 «</w:t>
            </w:r>
            <w:r>
              <w:rPr>
                <w:rStyle w:val="Style16"/>
                <w:bCs w:val="false"/>
                <w:color w:val="000000"/>
                <w:sz w:val="25"/>
                <w:szCs w:val="25"/>
              </w:rPr>
              <w:t xml:space="preserve">Об утверждении административного регламента Ядринской районной администрации Чувашской Республики по предоставлению муниципальной услуги </w:t>
            </w:r>
            <w:r>
              <w:rPr>
                <w:rStyle w:val="Style16"/>
                <w:b w:val="false"/>
                <w:bCs w:val="false"/>
                <w:color w:val="000000"/>
                <w:sz w:val="25"/>
                <w:szCs w:val="25"/>
              </w:rPr>
              <w:t>«</w:t>
            </w:r>
            <w:r>
              <w:rPr>
                <w:rFonts w:eastAsia="Times New Roman" w:cs="Times New Roman"/>
                <w:b/>
                <w:kern w:val="0"/>
                <w:sz w:val="25"/>
                <w:szCs w:val="25"/>
                <w:lang w:eastAsia="ru-RU" w:bidi="ar-SA"/>
              </w:rPr>
              <w:t>Предоставление жилых помещений малоимущим гражданам по договорам социального найма</w:t>
            </w:r>
            <w:r>
              <w:rPr>
                <w:rStyle w:val="Style16"/>
                <w:b w:val="false"/>
                <w:bCs w:val="false"/>
                <w:color w:val="000000"/>
                <w:sz w:val="25"/>
                <w:szCs w:val="25"/>
              </w:rPr>
              <w:t>»</w:t>
            </w:r>
          </w:p>
          <w:p>
            <w:pPr>
              <w:pStyle w:val="Normal"/>
              <w:jc w:val="both"/>
              <w:rPr>
                <w:b/>
                <w:b/>
                <w:kern w:val="2"/>
                <w:sz w:val="25"/>
                <w:szCs w:val="25"/>
                <w:lang w:eastAsia="ru-RU" w:bidi="ar-SA"/>
              </w:rPr>
            </w:pPr>
            <w:r>
              <w:rPr>
                <w:b/>
                <w:kern w:val="2"/>
                <w:sz w:val="25"/>
                <w:szCs w:val="25"/>
                <w:lang w:eastAsia="ru-RU" w:bidi="ar-SA"/>
              </w:rPr>
            </w:r>
          </w:p>
        </w:tc>
        <w:tc>
          <w:tcPr>
            <w:tcW w:w="4373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kern w:val="2"/>
                <w:sz w:val="25"/>
                <w:szCs w:val="25"/>
                <w:lang w:eastAsia="ru-RU" w:bidi="ar-SA"/>
              </w:rPr>
            </w:pPr>
            <w:r>
              <w:rPr>
                <w:kern w:val="2"/>
                <w:sz w:val="25"/>
                <w:szCs w:val="25"/>
                <w:lang w:eastAsia="ru-RU" w:bidi="ar-SA"/>
              </w:rPr>
            </w:r>
          </w:p>
        </w:tc>
      </w:tr>
    </w:tbl>
    <w:p>
      <w:pPr>
        <w:pStyle w:val="Normal"/>
        <w:ind w:left="0" w:right="0" w:firstLine="850"/>
        <w:jc w:val="both"/>
        <w:rPr/>
      </w:pPr>
      <w:r>
        <w:rPr>
          <w:sz w:val="25"/>
          <w:szCs w:val="25"/>
        </w:rPr>
        <w:t xml:space="preserve">В соответствии с Федеральными законами </w:t>
      </w:r>
      <w:r>
        <w:rPr>
          <w:rStyle w:val="Style16"/>
          <w:b w:val="false"/>
          <w:color w:val="000000"/>
          <w:sz w:val="25"/>
          <w:szCs w:val="25"/>
        </w:rPr>
        <w:t>от 06 октября 2003 года №131-ФЗ</w:t>
      </w:r>
      <w:r>
        <w:rPr>
          <w:sz w:val="25"/>
          <w:szCs w:val="25"/>
        </w:rPr>
        <w:t xml:space="preserve"> «Об общих принципах организации местного самоуправления в Российской Федерации», </w:t>
      </w:r>
      <w:r>
        <w:rPr>
          <w:rStyle w:val="Style16"/>
          <w:b w:val="false"/>
          <w:color w:val="000000"/>
          <w:sz w:val="25"/>
          <w:szCs w:val="25"/>
        </w:rPr>
        <w:t>от 27 июля 2010 года № 210-ФЗ</w:t>
      </w:r>
      <w:r>
        <w:rPr>
          <w:sz w:val="25"/>
          <w:szCs w:val="25"/>
        </w:rPr>
        <w:t xml:space="preserve"> «Об организации предоставления государственных и муниципальных услуг» и в целях повышения качества предоставления муниципальной услуги</w:t>
      </w:r>
      <w:r>
        <w:rPr>
          <w:rFonts w:cs="Times New Roman"/>
          <w:sz w:val="25"/>
          <w:szCs w:val="25"/>
        </w:rPr>
        <w:t>, администрация Ядринского муниципального округа Чувашской Республики   п о с т а н о в л я е т:</w:t>
      </w:r>
    </w:p>
    <w:p>
      <w:pPr>
        <w:pStyle w:val="Normal"/>
        <w:ind w:left="0" w:right="0" w:firstLine="709"/>
        <w:jc w:val="both"/>
        <w:rPr/>
      </w:pPr>
      <w:bookmarkStart w:id="0" w:name="sub_2"/>
      <w:r>
        <w:rPr>
          <w:rFonts w:cs="Times New Roman"/>
          <w:sz w:val="25"/>
          <w:szCs w:val="25"/>
        </w:rPr>
        <w:t>1.</w:t>
      </w:r>
      <w:r>
        <w:rPr>
          <w:rFonts w:eastAsia="Symbol" w:cs="Times New Roman"/>
          <w:kern w:val="2"/>
          <w:sz w:val="25"/>
          <w:szCs w:val="25"/>
          <w:lang w:eastAsia="zh-CN"/>
        </w:rPr>
        <w:t> </w:t>
      </w:r>
      <w:r>
        <w:rPr>
          <w:rFonts w:cs="Times New Roman"/>
          <w:sz w:val="25"/>
          <w:szCs w:val="25"/>
        </w:rPr>
        <w:t>Внес</w:t>
      </w:r>
      <w:r>
        <w:rPr>
          <w:rFonts w:eastAsia="Symbol" w:cs="Times New Roman"/>
          <w:kern w:val="2"/>
          <w:sz w:val="25"/>
          <w:szCs w:val="25"/>
          <w:lang w:eastAsia="zh-CN"/>
        </w:rPr>
        <w:t>т</w:t>
      </w:r>
      <w:r>
        <w:rPr>
          <w:rFonts w:cs="Times New Roman"/>
          <w:sz w:val="25"/>
          <w:szCs w:val="25"/>
        </w:rPr>
        <w:t xml:space="preserve">и в постановление администрации Ядринского муниципального округа Чувашской Республики </w:t>
      </w:r>
      <w:r>
        <w:rPr>
          <w:rFonts w:cs="Times New Roman"/>
          <w:sz w:val="25"/>
          <w:szCs w:val="25"/>
          <w:lang w:eastAsia="zxx" w:bidi="zxx"/>
        </w:rPr>
        <w:t>от 15 февраля 2018 № 102 «</w:t>
      </w:r>
      <w:r>
        <w:rPr>
          <w:rStyle w:val="Style16"/>
          <w:rFonts w:cs="Times New Roman"/>
          <w:b w:val="false"/>
          <w:bCs w:val="false"/>
          <w:color w:val="000000"/>
          <w:sz w:val="25"/>
          <w:szCs w:val="25"/>
        </w:rPr>
        <w:t>Об утверждении административного регламента администрации Ядринской районной администрации Чувашской Республики по предоставлению муниципальной услуги «</w:t>
      </w:r>
      <w:r>
        <w:rPr>
          <w:rFonts w:eastAsia="Times New Roman" w:cs="Times New Roman"/>
          <w:kern w:val="0"/>
          <w:sz w:val="25"/>
          <w:szCs w:val="25"/>
          <w:lang w:eastAsia="ru-RU" w:bidi="ar-SA"/>
        </w:rPr>
        <w:t>Предоставление жилых помещений малоимущим гражданам по договорам социального найма</w:t>
      </w:r>
      <w:r>
        <w:rPr>
          <w:rFonts w:cs="Times New Roman"/>
          <w:sz w:val="25"/>
          <w:szCs w:val="25"/>
          <w:lang w:eastAsia="zxx" w:bidi="zxx"/>
        </w:rPr>
        <w:t>»</w:t>
      </w:r>
      <w:r>
        <w:rPr>
          <w:rFonts w:cs="Times New Roman"/>
          <w:sz w:val="25"/>
          <w:szCs w:val="25"/>
        </w:rPr>
        <w:t xml:space="preserve"> (далее – Административный регламент) </w:t>
      </w:r>
      <w:r>
        <w:rPr>
          <w:rFonts w:eastAsia="Symbol" w:cs="Times New Roman"/>
          <w:kern w:val="2"/>
          <w:sz w:val="25"/>
          <w:szCs w:val="25"/>
          <w:lang w:eastAsia="zh-CN"/>
        </w:rPr>
        <w:t>следующие изменения:</w:t>
      </w:r>
    </w:p>
    <w:p>
      <w:pPr>
        <w:pStyle w:val="Normal"/>
        <w:spacing w:before="57" w:after="0"/>
        <w:ind w:left="0" w:right="0" w:firstLine="709"/>
        <w:jc w:val="both"/>
        <w:rPr/>
      </w:pPr>
      <w:r>
        <w:rPr>
          <w:rFonts w:eastAsia="Symbol" w:cs="Times New Roman"/>
          <w:kern w:val="2"/>
          <w:sz w:val="25"/>
          <w:szCs w:val="25"/>
          <w:lang w:eastAsia="zh-CN"/>
        </w:rPr>
        <w:t xml:space="preserve">1.1. В разделе </w:t>
      </w:r>
      <w:r>
        <w:rPr>
          <w:rFonts w:eastAsia="Symbol" w:cs="Times New Roman"/>
          <w:kern w:val="2"/>
          <w:sz w:val="25"/>
          <w:szCs w:val="25"/>
          <w:lang w:val="en-US" w:eastAsia="zh-CN"/>
        </w:rPr>
        <w:t>II</w:t>
      </w:r>
      <w:r>
        <w:rPr>
          <w:rFonts w:eastAsia="Symbol" w:cs="Times New Roman"/>
          <w:kern w:val="2"/>
          <w:sz w:val="25"/>
          <w:szCs w:val="25"/>
          <w:lang w:eastAsia="zh-CN"/>
        </w:rPr>
        <w:t xml:space="preserve"> «</w:t>
      </w:r>
      <w:r>
        <w:rPr>
          <w:rFonts w:eastAsia="Symbol" w:cs="Times New Roman"/>
          <w:kern w:val="2"/>
          <w:sz w:val="25"/>
          <w:szCs w:val="25"/>
          <w:lang w:val="en-US" w:eastAsia="zh-CN"/>
        </w:rPr>
        <w:t>II</w:t>
      </w:r>
      <w:r>
        <w:rPr>
          <w:rFonts w:eastAsia="Symbol" w:cs="Times New Roman"/>
          <w:kern w:val="2"/>
          <w:sz w:val="25"/>
          <w:szCs w:val="25"/>
          <w:lang w:eastAsia="zh-CN"/>
        </w:rPr>
        <w:t>. Стандарт предоставления муниципальной услуги» пункт 2.6 «2.6. Перечень документов, необходимых для получения муниципальной услуги» изложить в новой редакции:</w:t>
      </w:r>
    </w:p>
    <w:p>
      <w:pPr>
        <w:pStyle w:val="Style23"/>
        <w:spacing w:before="0" w:after="0"/>
        <w:ind w:left="0" w:right="0" w:firstLine="709"/>
        <w:jc w:val="both"/>
        <w:rPr>
          <w:rFonts w:eastAsia="Symbol"/>
          <w:kern w:val="2"/>
          <w:sz w:val="25"/>
          <w:szCs w:val="25"/>
        </w:rPr>
      </w:pPr>
      <w:r>
        <w:rPr>
          <w:rFonts w:eastAsia="Symbol"/>
          <w:kern w:val="2"/>
          <w:sz w:val="25"/>
          <w:szCs w:val="25"/>
        </w:rPr>
        <w:t>«2.6. Перечень документов, необходимых для предоставления муниципальной услуги.</w:t>
      </w:r>
    </w:p>
    <w:p>
      <w:pPr>
        <w:pStyle w:val="Style23"/>
        <w:spacing w:before="0" w:after="0"/>
        <w:ind w:left="0" w:right="0" w:firstLine="709"/>
        <w:jc w:val="both"/>
        <w:rPr>
          <w:rFonts w:eastAsia="Symbol"/>
          <w:color w:val="000000"/>
          <w:kern w:val="2"/>
          <w:sz w:val="25"/>
          <w:szCs w:val="25"/>
        </w:rPr>
      </w:pPr>
      <w:r>
        <w:rPr>
          <w:rFonts w:eastAsia="Symbol"/>
          <w:color w:val="000000"/>
          <w:kern w:val="2"/>
          <w:sz w:val="25"/>
          <w:szCs w:val="25"/>
        </w:rPr>
        <w:t>Для получения муниципальной услуги граждане подают в уполномоченное структурное подразделение либо в МФЦ следующие документы:</w:t>
      </w:r>
    </w:p>
    <w:p>
      <w:pPr>
        <w:pStyle w:val="Style23"/>
        <w:spacing w:before="0" w:after="0"/>
        <w:ind w:left="0" w:right="0" w:firstLine="720"/>
        <w:jc w:val="both"/>
        <w:rPr/>
      </w:pPr>
      <w:bookmarkStart w:id="1" w:name="anchor1261"/>
      <w:bookmarkEnd w:id="1"/>
      <w:r>
        <w:rPr>
          <w:sz w:val="25"/>
          <w:szCs w:val="25"/>
        </w:rPr>
        <w:t>1)</w:t>
      </w:r>
      <w:r>
        <w:rPr>
          <w:color w:val="22272F"/>
          <w:sz w:val="25"/>
          <w:szCs w:val="25"/>
        </w:rPr>
        <w:t xml:space="preserve"> Копии паспортов всех членов семьи и копии свидетельств о рождении несовершеннолетних детей</w:t>
      </w:r>
      <w:r>
        <w:rPr>
          <w:sz w:val="25"/>
          <w:szCs w:val="25"/>
        </w:rPr>
        <w:t>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bookmarkStart w:id="2" w:name="anchor1263"/>
      <w:bookmarkStart w:id="3" w:name="anchor1262"/>
      <w:bookmarkEnd w:id="2"/>
      <w:bookmarkEnd w:id="3"/>
      <w:r>
        <w:rPr>
          <w:sz w:val="25"/>
          <w:szCs w:val="25"/>
        </w:rPr>
        <w:t>2) копии документов, подтверждающих право собственности заявителя и (или) членов его семьи на объекты недвижимого имущества, в случае если права на объекты недвижимого имущества не зарегистрированы в Едином государственном реестре прав на недвижимое имущество и сделок с ним (при наличии объектов недвижимого имущества).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bookmarkStart w:id="4" w:name="anchor1265"/>
      <w:bookmarkStart w:id="5" w:name="anchor1264"/>
      <w:bookmarkEnd w:id="4"/>
      <w:bookmarkEnd w:id="5"/>
      <w:r>
        <w:rPr>
          <w:sz w:val="25"/>
          <w:szCs w:val="25"/>
        </w:rPr>
        <w:t>3) документы, подтверждающие стоимость имущества, находящегося в собственности заявителя и (или) членов его семьи;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Виды имущества, учитываемого при признании граждан малоимущими: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 здания, сооружения, жилые и нежилые помещения;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 автомобили, мотоциклы, моторные лодки, автобусы, катера и иные транспортные средства, зарегистрированные в порядке, установленном законодательством Российской Федерации;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 суммы, находящиеся во вкладах в банках и других кредитных организациях (при наличии таких вкладов);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 ценные бумаги в их стоимостном выражении (при наличии ценных бумаг);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 земельные участки;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- СНИЛС заявителя (его представителя).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Специалист уполномоченного структурного подразделения, в порядке межведомственного информационного взаимодействия запрашивает следующие документы: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bookmarkStart w:id="6" w:name="anchor1266"/>
      <w:bookmarkEnd w:id="6"/>
      <w:r>
        <w:rPr>
          <w:sz w:val="25"/>
          <w:szCs w:val="25"/>
        </w:rPr>
        <w:t>1) сведения из Единого государственного реестра прав на недвижимое имущество и сделок с ним о правах на объекты недвижимого имущества, принадлежащие заявителю и членам его семьи;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bookmarkStart w:id="7" w:name="anchor1267"/>
      <w:bookmarkEnd w:id="7"/>
      <w:r>
        <w:rPr>
          <w:sz w:val="25"/>
          <w:szCs w:val="25"/>
        </w:rPr>
        <w:t>2) документы, подтверждающие доходы заявителя и всех членов его семьи (налоговые декларации в соответствии с применяемым режимом налогообложения за налоговые и отчетные периоды, которые приходятся на расчетный период, с отметкой налогового органа о принятии - для индивидуальных предпринимателей);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bookmarkStart w:id="8" w:name="anchor1268"/>
      <w:bookmarkEnd w:id="8"/>
      <w:r>
        <w:rPr>
          <w:sz w:val="25"/>
          <w:szCs w:val="25"/>
        </w:rPr>
        <w:t>3) справки из органов, осуществляющих учет имущества, указанного в абзаце 3 статьи 8 Закона Чувашской Республики от 17 октября 2005 г. № 42 «О регулировании жилищных отношений», на заявителя и членов его семьи, о наличии (отсутствии) имущества.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Документы, которые заявитель вправе представить по собственной инициативе: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справка о составе семьи;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выписка (справка) из финансового лицевого счета с места жительства (для заявителей, у которых жилые помещения расположены в многоквартирных домах)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документы, подтверждающие место работы заявителя и членов его семьи (выписки из трудовой книжки);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документы, подтверждающие доходы заявителя и всех членов его семьи (справка с места работы, налоговые декларации в соответствии с применяемым режимом налогообложения за налоговые и отчетные периоды, которые приходятся на расчетный период, с отметкой налогового органа о принятии - для индивидуальных предпринимателей, и другие);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документы, подтверждающие стоимость имущества, находящегося в собственности заявителя и (или) членов его семьи.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Услуга предоставляется гражданам, состоящим на учете в качестве лиц, нуждающихся в жилых помещениях, которым было направлено (вручено) уведомление о необходимости подачи документов для предоставления жилого помещения по договору социального найма.</w:t>
      </w:r>
    </w:p>
    <w:p>
      <w:pPr>
        <w:pStyle w:val="Style23"/>
        <w:spacing w:before="0" w:after="0"/>
        <w:ind w:left="0" w:righ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От имени заявителя документы могут быть представлены уполномоченным лицом при наличии надлежаще оформленных полномочий.»</w:t>
      </w:r>
    </w:p>
    <w:p>
      <w:pPr>
        <w:pStyle w:val="Normal"/>
        <w:ind w:left="0" w:right="0" w:firstLine="851"/>
        <w:jc w:val="both"/>
        <w:rPr/>
      </w:pPr>
      <w:bookmarkStart w:id="9" w:name="sub_2"/>
      <w:r>
        <w:rPr>
          <w:rFonts w:cs="Times New Roman"/>
          <w:sz w:val="25"/>
          <w:szCs w:val="25"/>
        </w:rPr>
        <w:t>2.</w:t>
      </w:r>
      <w:bookmarkEnd w:id="9"/>
      <w:r>
        <w:rPr>
          <w:rFonts w:cs="Times New Roman"/>
          <w:bCs/>
          <w:sz w:val="25"/>
          <w:szCs w:val="25"/>
        </w:rPr>
        <w:t xml:space="preserve"> Настоящее постановление вступает в силу после его официального опубликования.</w:t>
      </w:r>
    </w:p>
    <w:p>
      <w:pPr>
        <w:pStyle w:val="Normal"/>
        <w:ind w:left="0" w:right="0" w:firstLine="851"/>
        <w:jc w:val="both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</w:r>
    </w:p>
    <w:p>
      <w:pPr>
        <w:pStyle w:val="Normal"/>
        <w:ind w:left="0" w:right="0" w:firstLine="851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Глава Ядринского</w:t>
      </w:r>
    </w:p>
    <w:p>
      <w:pPr>
        <w:pStyle w:val="Normal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муниципального округа</w:t>
      </w:r>
    </w:p>
    <w:p>
      <w:pPr>
        <w:pStyle w:val="Normal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Чувашской Республики                                                                              С.О.Трофимов</w:t>
      </w:r>
    </w:p>
    <w:sectPr>
      <w:type w:val="nextPage"/>
      <w:pgSz w:w="11906" w:h="16838"/>
      <w:pgMar w:left="1701" w:right="851" w:header="0" w:top="1077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;宋体" w:cs="Mangal;Liberation Mono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Style15">
    <w:name w:val="Цветовое выделение"/>
    <w:qFormat/>
    <w:rPr>
      <w:b/>
      <w:bCs/>
      <w:color w:val="000080"/>
    </w:rPr>
  </w:style>
  <w:style w:type="character" w:styleId="Style16">
    <w:name w:val="Гипертекстовая ссылка"/>
    <w:basedOn w:val="Style15"/>
    <w:qFormat/>
    <w:rPr>
      <w:color w:val="106BB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3">
    <w:name w:val="Обычный (веб)"/>
    <w:basedOn w:val="Normal"/>
    <w:qFormat/>
    <w:pPr>
      <w:widowControl/>
      <w:spacing w:before="100" w:after="100"/>
    </w:pPr>
    <w:rPr>
      <w:rFonts w:eastAsia="Times New Roman" w:cs="Times New Roman"/>
      <w:kern w:val="0"/>
      <w:lang w:eastAsia="zh-CN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LibreOffice/6.1.2.1$Windows_x86 LibreOffice_project/65905a128db06ba48db947242809d14d3f9a93fe</Application>
  <Pages>2</Pages>
  <Words>623</Words>
  <CharactersWithSpaces>5024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2024-07-01T09:22:00Z</dcterms:created>
  <dc:creator>yadrin_gki3</dc:creator>
  <dc:description/>
  <dc:language>ru-RU</dc:language>
  <cp:lastModifiedBy>yadrin_gki3</cp:lastModifiedBy>
  <cp:lastPrinted>2024-07-01T10:09:00Z</cp:lastPrinted>
  <dcterms:modified xsi:type="dcterms:W3CDTF">2024-07-01T10:19:00Z</dcterms:modified>
  <cp:revision>1</cp:revision>
  <dc:subject/>
  <dc:title/>
</cp:coreProperties>
</file>