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25"/>
        <w:gridCol w:w="183"/>
        <w:gridCol w:w="720"/>
        <w:gridCol w:w="180"/>
        <w:gridCol w:w="4098"/>
      </w:tblGrid>
      <w:tr>
        <w:tblPrEx/>
        <w:trPr>
          <w:trHeight w:val="7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25" w:type="dxa"/>
            <w:vAlign w:val="top"/>
            <w:textDirection w:val="lrTb"/>
            <w:noWrap w:val="false"/>
          </w:tcPr>
          <w:p>
            <w:pPr>
              <w:pStyle w:val="836"/>
              <w:jc w:val="right"/>
            </w:pPr>
            <w:r/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562" cy="51577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562" cy="515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3pt;height:40.6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98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spacing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836"/>
              <w:jc w:val="right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ЧĂВАШ РЕСПУБЛИКИН </w:t>
            </w:r>
            <w:r>
              <w:rPr>
                <w:b/>
                <w:sz w:val="16"/>
                <w:szCs w:val="16"/>
              </w:rPr>
              <w:t xml:space="preserve">КУЛЬТУРА,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НАЦИОНАЛЬНОÇСЕН ĚÇĚСЕН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ТАТА АРХИВ ĚÇĚН МИНИСТЕРСТВИ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7"/>
              <w:numPr>
                <w:ilvl w:val="0"/>
                <w:numId w:val="1"/>
              </w:numPr>
              <w:jc w:val="center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7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КУЛЬТУРЫ,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ДЕЛАМ НАЦИОНАЛЬНОСТЕЙ И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АРХИВНОГО ДЕЛА ЧУВАШСКОЙ РЕСПУБЛИКИ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37"/>
              <w:numPr>
                <w:ilvl w:val="0"/>
                <w:numId w:val="1"/>
              </w:numPr>
              <w:jc w:val="center"/>
              <w:spacing w:before="0"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__________</w:t>
            </w:r>
            <w:r>
              <w:rPr>
                <w:b w:val="0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b w:val="0"/>
                <w:color w:val="000000"/>
                <w:sz w:val="26"/>
                <w:szCs w:val="26"/>
              </w:rPr>
              <w:t xml:space="preserve">№ __________</w:t>
            </w:r>
            <w:r>
              <w:rPr>
                <w:b w:val="0"/>
                <w:color w:val="000000"/>
                <w:sz w:val="26"/>
                <w:szCs w:val="26"/>
              </w:rPr>
            </w:r>
            <w:r>
              <w:rPr>
                <w:b w:val="0"/>
                <w:color w:val="000000"/>
                <w:sz w:val="26"/>
                <w:szCs w:val="26"/>
              </w:rPr>
            </w:r>
          </w:p>
          <w:p>
            <w:pPr>
              <w:pStyle w:val="836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Шупашкар хули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7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ПРИКАЗ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</w:t>
            </w:r>
            <w:r>
              <w:rPr>
                <w:sz w:val="26"/>
                <w:szCs w:val="26"/>
              </w:rPr>
              <w:t xml:space="preserve">        №</w:t>
            </w:r>
            <w:r>
              <w:rPr>
                <w:sz w:val="26"/>
                <w:szCs w:val="26"/>
              </w:rPr>
              <w:t xml:space="preserve">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6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г. Чебоксары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43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</w:r>
      <w:r>
        <w:rPr>
          <w:rFonts w:ascii="TimesET" w:hAnsi="TimesET"/>
          <w:sz w:val="24"/>
        </w:rPr>
      </w:r>
      <w:r>
        <w:rPr>
          <w:rFonts w:ascii="TimesET" w:hAnsi="TimesET"/>
          <w:sz w:val="24"/>
        </w:rPr>
      </w:r>
    </w:p>
    <w:p>
      <w:pPr>
        <w:pStyle w:val="836"/>
        <w:ind w:right="5379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right="482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 утверждении </w:t>
      </w:r>
      <w:r>
        <w:rPr>
          <w:sz w:val="26"/>
          <w:szCs w:val="26"/>
        </w:rPr>
        <w:t xml:space="preserve">программ</w:t>
      </w:r>
      <w:r>
        <w:rPr>
          <w:sz w:val="26"/>
          <w:szCs w:val="26"/>
        </w:rPr>
        <w:t xml:space="preserve"> профилакт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ки рисков причинения вреда (ущерба) охраняемым законом ценностям в обл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сти охраны объектов культурного наследия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2025 год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60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6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</w:t>
      </w:r>
      <w:r>
        <w:rPr>
          <w:sz w:val="26"/>
          <w:szCs w:val="26"/>
        </w:rPr>
        <w:t xml:space="preserve">о статьей 44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"http://internet.garant.ru/document/redirect/12177515/0"</w:instrText>
      </w:r>
      <w:r>
        <w:rPr>
          <w:sz w:val="26"/>
          <w:szCs w:val="26"/>
        </w:rPr>
        <w:fldChar w:fldCharType="separate"/>
      </w:r>
      <w:r>
        <w:rPr>
          <w:rStyle w:val="856"/>
          <w:color w:val="000000"/>
          <w:sz w:val="26"/>
          <w:szCs w:val="26"/>
        </w:rPr>
        <w:t xml:space="preserve">Федерал</w:t>
      </w:r>
      <w:r>
        <w:rPr>
          <w:rStyle w:val="856"/>
          <w:color w:val="000000"/>
          <w:sz w:val="26"/>
          <w:szCs w:val="26"/>
        </w:rPr>
        <w:t xml:space="preserve">ьного</w:t>
      </w:r>
      <w:r>
        <w:rPr>
          <w:rStyle w:val="856"/>
          <w:color w:val="000000"/>
          <w:sz w:val="26"/>
          <w:szCs w:val="26"/>
        </w:rPr>
        <w:t xml:space="preserve"> закон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а от 31 июля 2020 г. </w:t>
        <w:br w:type="textWrapping" w:clear="all"/>
        <w:t xml:space="preserve">№ 248-ФЗ «О государственном контроле (надзоре) и муниципальном контроле в Ро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п р и к а з ы в а ю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программу профилактики рисков причинения вреда (ущерба) </w:t>
      </w:r>
      <w:r>
        <w:rPr>
          <w:bCs/>
          <w:sz w:val="26"/>
          <w:szCs w:val="26"/>
        </w:rPr>
        <w:t xml:space="preserve">охраняемым законом ценностям при осуществлении </w:t>
      </w:r>
      <w:r>
        <w:rPr>
          <w:sz w:val="26"/>
          <w:szCs w:val="26"/>
          <w:shd w:val="clear" w:color="auto" w:fill="ffffff"/>
        </w:rPr>
        <w:t xml:space="preserve">федерального государственн</w:t>
      </w:r>
      <w:r>
        <w:rPr>
          <w:sz w:val="26"/>
          <w:szCs w:val="26"/>
          <w:shd w:val="clear" w:color="auto" w:fill="ffffff"/>
        </w:rPr>
        <w:t xml:space="preserve">о</w:t>
      </w:r>
      <w:r>
        <w:rPr>
          <w:sz w:val="26"/>
          <w:szCs w:val="26"/>
          <w:shd w:val="clear" w:color="auto" w:fill="ffffff"/>
        </w:rPr>
        <w:t xml:space="preserve">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фед</w:t>
      </w:r>
      <w:r>
        <w:rPr>
          <w:sz w:val="26"/>
          <w:szCs w:val="26"/>
          <w:shd w:val="clear" w:color="auto" w:fill="ffffff"/>
        </w:rPr>
        <w:t xml:space="preserve">е</w:t>
      </w:r>
      <w:r>
        <w:rPr>
          <w:sz w:val="26"/>
          <w:szCs w:val="26"/>
          <w:shd w:val="clear" w:color="auto" w:fill="ffffff"/>
        </w:rPr>
        <w:t xml:space="preserve">рального значения </w:t>
      </w:r>
      <w:r>
        <w:rPr>
          <w:bCs/>
          <w:sz w:val="26"/>
          <w:szCs w:val="26"/>
        </w:rPr>
        <w:t xml:space="preserve">на 2025</w:t>
      </w:r>
      <w:r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</w:t>
      </w:r>
      <w:r>
        <w:rPr>
          <w:sz w:val="26"/>
          <w:szCs w:val="26"/>
        </w:rPr>
        <w:t xml:space="preserve"> приложению </w:t>
      </w:r>
      <w:r>
        <w:rPr>
          <w:sz w:val="26"/>
          <w:szCs w:val="26"/>
        </w:rPr>
        <w:br/>
        <w:t xml:space="preserve">№ 1 </w:t>
      </w:r>
      <w:r>
        <w:rPr>
          <w:sz w:val="26"/>
          <w:szCs w:val="26"/>
        </w:rPr>
        <w:t xml:space="preserve">к  </w:t>
      </w:r>
      <w:r>
        <w:rPr>
          <w:sz w:val="26"/>
          <w:szCs w:val="26"/>
        </w:rPr>
        <w:t xml:space="preserve">настоящему прик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зу.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Утвердить п</w:t>
      </w:r>
      <w:r>
        <w:rPr>
          <w:rFonts w:eastAsia="Calibri"/>
          <w:sz w:val="26"/>
          <w:szCs w:val="26"/>
          <w:lang w:eastAsia="en-US"/>
        </w:rPr>
        <w:t xml:space="preserve">рограмму профилактики рисков причинения вреда (ущерба) охраняемым законом ценностям при осуществлении регионального государстве</w:t>
      </w:r>
      <w:r>
        <w:rPr>
          <w:rFonts w:eastAsia="Calibri"/>
          <w:sz w:val="26"/>
          <w:szCs w:val="26"/>
          <w:lang w:eastAsia="en-US"/>
        </w:rPr>
        <w:t xml:space="preserve">н</w:t>
      </w:r>
      <w:r>
        <w:rPr>
          <w:rFonts w:eastAsia="Calibri"/>
          <w:sz w:val="26"/>
          <w:szCs w:val="26"/>
          <w:lang w:eastAsia="en-US"/>
        </w:rPr>
        <w:t xml:space="preserve">ного контроля (надзора) </w:t>
      </w:r>
      <w:r>
        <w:rPr>
          <w:sz w:val="26"/>
          <w:szCs w:val="26"/>
        </w:rPr>
        <w:t xml:space="preserve">за состоянием, содержанием, сохранением, использован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ем, популяризацией и государственной охраной объектов культурного наследия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ги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нального значения, объектов культурного наследия местного (муниципального) значения, выявленных объектов культурного наследия</w:t>
      </w:r>
      <w:r>
        <w:rPr>
          <w:rFonts w:eastAsia="Calibri"/>
          <w:sz w:val="26"/>
          <w:szCs w:val="26"/>
          <w:lang w:eastAsia="en-US"/>
        </w:rPr>
        <w:t xml:space="preserve"> на 2025</w:t>
      </w:r>
      <w:r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согласно</w:t>
      </w:r>
      <w:r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ложению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 настоящему прик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зу.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854"/>
        <w:ind w:firstLine="705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Контроль за исполнением настоящего приказа возложить на</w:t>
      </w:r>
      <w:r>
        <w:rPr>
          <w:rFonts w:ascii="Times New Roman" w:hAnsi="Times New Roman"/>
          <w:sz w:val="26"/>
          <w:szCs w:val="26"/>
        </w:rPr>
        <w:t xml:space="preserve"> первого </w:t>
      </w:r>
      <w:r>
        <w:rPr>
          <w:rFonts w:ascii="Times New Roman" w:hAnsi="Times New Roman"/>
          <w:sz w:val="26"/>
          <w:szCs w:val="26"/>
        </w:rPr>
        <w:t xml:space="preserve">зам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стителя министра культуры, по делам национальностей и архивного дела Чува</w:t>
      </w:r>
      <w:r>
        <w:rPr>
          <w:rFonts w:ascii="Times New Roman" w:hAnsi="Times New Roman"/>
          <w:sz w:val="26"/>
          <w:szCs w:val="26"/>
        </w:rPr>
        <w:t xml:space="preserve">ш</w:t>
      </w:r>
      <w:r>
        <w:rPr>
          <w:rFonts w:ascii="Times New Roman" w:hAnsi="Times New Roman"/>
          <w:sz w:val="26"/>
          <w:szCs w:val="26"/>
        </w:rPr>
        <w:t xml:space="preserve">ской Республики, курирующего соответствующее направление деятел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ности.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6"/>
        <w:spacing w:line="276" w:lineRule="auto"/>
        <w:tabs>
          <w:tab w:val="left" w:pos="1014" w:leader="none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836"/>
        <w:spacing w:line="240" w:lineRule="auto"/>
        <w:tabs>
          <w:tab w:val="left" w:pos="101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spacing w:line="240" w:lineRule="auto"/>
        <w:tabs>
          <w:tab w:val="left" w:pos="101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2"/>
        <w:gridCol w:w="478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tabs>
                <w:tab w:val="left" w:pos="1014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инистр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spacing w:line="240" w:lineRule="auto"/>
              <w:tabs>
                <w:tab w:val="left" w:pos="1014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Каликова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6"/>
        <w:ind w:left="5387"/>
        <w:spacing w:line="240" w:lineRule="auto"/>
        <w:tabs>
          <w:tab w:val="left" w:pos="101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left="5387"/>
        <w:spacing w:line="240" w:lineRule="auto"/>
        <w:tabs>
          <w:tab w:val="left" w:pos="1014" w:leader="none"/>
        </w:tabs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73"/>
        <w:gridCol w:w="1171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1" w:type="dxa"/>
            <w:vAlign w:val="top"/>
            <w:textDirection w:val="lrTb"/>
            <w:noWrap w:val="false"/>
          </w:tcPr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36"/>
              <w:ind w:right="-10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Приложение </w:t>
            </w:r>
            <w:r>
              <w:rPr>
                <w:rFonts w:eastAsia="Calibri"/>
                <w:sz w:val="26"/>
                <w:szCs w:val="26"/>
              </w:rPr>
              <w:t xml:space="preserve">№ 1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ind w:right="-10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 приказу Министерства культуры, по д</w:t>
            </w:r>
            <w:r>
              <w:rPr>
                <w:rFonts w:eastAsia="Calibri"/>
                <w:sz w:val="26"/>
                <w:szCs w:val="26"/>
              </w:rPr>
              <w:t xml:space="preserve">е</w:t>
            </w:r>
            <w:r>
              <w:rPr>
                <w:rFonts w:eastAsia="Calibri"/>
                <w:sz w:val="26"/>
                <w:szCs w:val="26"/>
              </w:rPr>
              <w:t xml:space="preserve">лам национальностей и а</w:t>
            </w:r>
            <w:r>
              <w:rPr>
                <w:rFonts w:eastAsia="Calibri"/>
                <w:sz w:val="26"/>
                <w:szCs w:val="26"/>
              </w:rPr>
              <w:t xml:space="preserve">р</w:t>
            </w:r>
            <w:r>
              <w:rPr>
                <w:rFonts w:eastAsia="Calibri"/>
                <w:sz w:val="26"/>
                <w:szCs w:val="26"/>
              </w:rPr>
              <w:t xml:space="preserve">хивного дела Чувашской Респу</w:t>
            </w:r>
            <w:r>
              <w:rPr>
                <w:rFonts w:eastAsia="Calibri"/>
                <w:sz w:val="26"/>
                <w:szCs w:val="26"/>
              </w:rPr>
              <w:t xml:space="preserve">б</w:t>
            </w:r>
            <w:r>
              <w:rPr>
                <w:rFonts w:eastAsia="Calibri"/>
                <w:sz w:val="26"/>
                <w:szCs w:val="26"/>
              </w:rPr>
              <w:t xml:space="preserve">лики 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от </w:t>
            </w:r>
            <w:r>
              <w:rPr>
                <w:rFonts w:eastAsia="Calibri"/>
                <w:sz w:val="26"/>
                <w:szCs w:val="26"/>
              </w:rPr>
              <w:t xml:space="preserve">_____________2024</w:t>
            </w:r>
            <w:r>
              <w:rPr>
                <w:rFonts w:eastAsia="Calibri"/>
                <w:sz w:val="26"/>
                <w:szCs w:val="26"/>
              </w:rPr>
              <w:t xml:space="preserve"> г. № ________</w:t>
            </w:r>
            <w:r>
              <w:rPr>
                <w:rFonts w:eastAsia="Calibri"/>
                <w:sz w:val="26"/>
                <w:szCs w:val="26"/>
                <w:lang w:val="en-US"/>
              </w:rPr>
            </w: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</w:tr>
    </w:tbl>
    <w:p>
      <w:pPr>
        <w:pStyle w:val="836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Г Р А М М 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54"/>
        <w:ind w:right="-1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36"/>
        <w:ind w:right="-2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охраняемым законом ценностям при осуществлении </w:t>
      </w:r>
      <w:r>
        <w:rPr>
          <w:b/>
          <w:sz w:val="26"/>
          <w:szCs w:val="26"/>
          <w:shd w:val="clear" w:color="auto" w:fill="ffffff"/>
        </w:rPr>
        <w:t xml:space="preserve">федерального госуда</w:t>
      </w:r>
      <w:r>
        <w:rPr>
          <w:b/>
          <w:sz w:val="26"/>
          <w:szCs w:val="26"/>
          <w:shd w:val="clear" w:color="auto" w:fill="ffffff"/>
        </w:rPr>
        <w:t xml:space="preserve">р</w:t>
      </w:r>
      <w:r>
        <w:rPr>
          <w:b/>
          <w:sz w:val="26"/>
          <w:szCs w:val="26"/>
          <w:shd w:val="clear" w:color="auto" w:fill="ffffff"/>
        </w:rPr>
        <w:t xml:space="preserve">ственного контроля (надзора) за состоянием, содержанием, сохранением, и</w:t>
      </w:r>
      <w:r>
        <w:rPr>
          <w:b/>
          <w:sz w:val="26"/>
          <w:szCs w:val="26"/>
          <w:shd w:val="clear" w:color="auto" w:fill="ffffff"/>
        </w:rPr>
        <w:t xml:space="preserve">с</w:t>
      </w:r>
      <w:r>
        <w:rPr>
          <w:b/>
          <w:sz w:val="26"/>
          <w:szCs w:val="26"/>
          <w:shd w:val="clear" w:color="auto" w:fill="ffffff"/>
        </w:rPr>
        <w:t xml:space="preserve">пользованием, популяризацией и государственной охраной объектов культу</w:t>
      </w:r>
      <w:r>
        <w:rPr>
          <w:b/>
          <w:sz w:val="26"/>
          <w:szCs w:val="26"/>
          <w:shd w:val="clear" w:color="auto" w:fill="ffffff"/>
        </w:rPr>
        <w:t xml:space="preserve">р</w:t>
      </w:r>
      <w:r>
        <w:rPr>
          <w:b/>
          <w:sz w:val="26"/>
          <w:szCs w:val="26"/>
          <w:shd w:val="clear" w:color="auto" w:fill="ffffff"/>
        </w:rPr>
        <w:t xml:space="preserve">ного наследия федерального значения </w:t>
      </w:r>
      <w:r>
        <w:rPr>
          <w:b/>
          <w:bCs/>
          <w:sz w:val="26"/>
          <w:szCs w:val="26"/>
        </w:rPr>
        <w:t xml:space="preserve">на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2"/>
        <w:jc w:val="center"/>
        <w:spacing w:line="240" w:lineRule="auto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в соответствии со статьей 44 Федеральн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закона от 31 июля 2020 г. № 248-ФЗ «О государственном контроле (надзоре) и муниципальном контроле в Российской Федерации», постановлением Правител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ства Российской Федерации от 25 июня 2021 г. № 990 «Об утверждении Правил разработки и утверждения контрольными (надзорными) органами программы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филактики рисков причинения вреда (ущерба) охраняемым законом ценностям», </w:t>
      </w:r>
      <w:r>
        <w:fldChar w:fldCharType="begin"/>
      </w:r>
      <w:r>
        <w:instrText xml:space="preserve"> HYPERLINK \l "P34" </w:instrText>
      </w:r>
      <w:r>
        <w:fldChar w:fldCharType="separate"/>
      </w:r>
      <w:r>
        <w:rPr>
          <w:sz w:val="26"/>
          <w:szCs w:val="26"/>
        </w:rPr>
        <w:t xml:space="preserve">Положение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м 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тельства Российской Федерации от 30 июня 2021 г. № 1093 и предусматривает комплекс мероприятий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направленных на минимизацию риска причинения вреда (ущерба) охраняемым законом ценностям, вызванного нарушениями обязательных требований.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9.1 Федерального закона от 25 июня 2002 г. № 73-ФЗ «Об объектах культурного наследия (памятниках истории и культуры) народов Российской Федерации» (далее – Федеральный закон № 73-ФЗ), Российская Фед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рация передает органам государственной власти субъекта Российской Федерации полномочия по осуществлению федерального государственного контроля (надзора) за состоянием, содержанием, сохранением, использованием, популяризацией и го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навливается Правительством Российской Федерации), (далее - федеральный гос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дарственный надзор).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Федеральный государственный надзор на территории Чувашской Республ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ки осуществляется отделом по охране объектов культурного наследия Министе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ства культуры, по делам национальностей и архивного дела Чувашской Республики (далее соответственно – Отдел, Министерство) на основании ст. 11 Федерального закона № 73-ФЗ, </w:t>
      </w:r>
      <w:r>
        <w:fldChar w:fldCharType="begin"/>
      </w:r>
      <w:r>
        <w:instrText xml:space="preserve"> HYPERLINK \l "P34" </w:instrText>
      </w:r>
      <w:r>
        <w:fldChar w:fldCharType="separate"/>
      </w:r>
      <w:r>
        <w:rPr>
          <w:sz w:val="26"/>
          <w:szCs w:val="26"/>
        </w:rPr>
        <w:t xml:space="preserve">Положени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я о федеральном государственном контроле (надзоре) за состоянием, содержанием, сохранением, использованием, популяризацией и гос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дарственной охраной объектов культурного наследия, утвержденным постановл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нием  Правительства Российской Федерации от 30 июня 2021 г. № 1093.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0"/>
        <w:ind w:firstLine="709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целей настоящей программы используются определения и понятия, установленные Федеральным законом № 248-ФЗ.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представляет собой взаимосвязанный по целям, зад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чам, ресурсам и срокам осуществления к</w:t>
      </w:r>
      <w:r>
        <w:rPr>
          <w:sz w:val="26"/>
          <w:szCs w:val="26"/>
        </w:rPr>
        <w:t xml:space="preserve">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ний, а также на создание и развитие системы профилактики.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1. Анализ текущего состояния осуществления вида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контроля, описание текущего уровня развития профилактической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деятельности контрольного (надзорного) органа, характеристика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проблем, на решение которых направлена программа профилактики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Чу</w:t>
      </w:r>
      <w:r>
        <w:rPr>
          <w:rFonts w:ascii="Times New Roman" w:hAnsi="Times New Roman"/>
          <w:sz w:val="26"/>
          <w:szCs w:val="26"/>
        </w:rPr>
        <w:t xml:space="preserve">вашской Республики находятся 223</w:t>
      </w:r>
      <w:r>
        <w:rPr>
          <w:rFonts w:ascii="Times New Roman" w:hAnsi="Times New Roman"/>
          <w:sz w:val="26"/>
          <w:szCs w:val="26"/>
        </w:rPr>
        <w:t xml:space="preserve"> объекта культурного наследия федера</w:t>
      </w:r>
      <w:r>
        <w:rPr>
          <w:rFonts w:ascii="Times New Roman" w:hAnsi="Times New Roman"/>
          <w:sz w:val="26"/>
          <w:szCs w:val="26"/>
        </w:rPr>
        <w:t xml:space="preserve">льного значения, в том числе 173</w:t>
      </w:r>
      <w:r>
        <w:rPr>
          <w:rFonts w:ascii="Times New Roman" w:hAnsi="Times New Roman"/>
          <w:sz w:val="26"/>
          <w:szCs w:val="26"/>
        </w:rPr>
        <w:t xml:space="preserve"> объекта археологического насле</w:t>
      </w:r>
      <w:r>
        <w:rPr>
          <w:rFonts w:ascii="Times New Roman" w:hAnsi="Times New Roman"/>
          <w:sz w:val="26"/>
          <w:szCs w:val="26"/>
        </w:rPr>
        <w:t xml:space="preserve">дия, 50</w:t>
      </w:r>
      <w:r>
        <w:rPr>
          <w:rFonts w:ascii="Times New Roman" w:hAnsi="Times New Roman"/>
          <w:sz w:val="26"/>
          <w:szCs w:val="26"/>
        </w:rPr>
        <w:t xml:space="preserve"> памятников истории и культуры.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2024 году уполномоченными лицами Министерства на основании Плана проведения мероприятий по контролю за состоянием объектов культурного насл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дия федерального значения на 202</w:t>
      </w:r>
      <w:r>
        <w:rPr>
          <w:sz w:val="26"/>
          <w:szCs w:val="26"/>
        </w:rPr>
        <w:t xml:space="preserve">4 го</w:t>
      </w:r>
      <w:r>
        <w:rPr>
          <w:sz w:val="26"/>
          <w:szCs w:val="26"/>
        </w:rPr>
        <w:t xml:space="preserve">д, утверждённого 24 ноября 2023</w:t>
      </w:r>
      <w:r>
        <w:rPr>
          <w:sz w:val="26"/>
          <w:szCs w:val="26"/>
        </w:rPr>
        <w:t xml:space="preserve"> г. пров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дено 47 мероприятий по контролю.</w:t>
      </w:r>
      <w:r>
        <w:rPr>
          <w:sz w:val="26"/>
          <w:szCs w:val="26"/>
        </w:rPr>
        <w:t xml:space="preserve"> Объявлено 7 предостережений </w:t>
      </w:r>
      <w:r>
        <w:rPr>
          <w:sz w:val="26"/>
          <w:szCs w:val="26"/>
        </w:rPr>
        <w:t xml:space="preserve">о недоп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стимости нарушения обязательных требований</w:t>
      </w:r>
      <w:r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 основании наступления событий, указанных в программе проверок проведено 3 инспекционных визита.</w:t>
      </w:r>
      <w:r>
        <w:rPr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eastAsia="Calibri"/>
          <w:bCs/>
          <w:sz w:val="26"/>
          <w:szCs w:val="26"/>
        </w:rPr>
        <w:t xml:space="preserve">В соответствии с приказом Минкультуры России от 20 апреля 2016 г. </w:t>
      </w:r>
      <w:r>
        <w:rPr>
          <w:rFonts w:ascii="Times New Roman" w:hAnsi="Times New Roman" w:eastAsia="Calibri"/>
          <w:bCs/>
          <w:sz w:val="26"/>
          <w:szCs w:val="26"/>
        </w:rPr>
        <w:br w:type="textWrapping" w:clear="all"/>
      </w:r>
      <w:r>
        <w:rPr>
          <w:rFonts w:ascii="Times New Roman" w:hAnsi="Times New Roman" w:eastAsia="Calibri"/>
          <w:bCs/>
          <w:sz w:val="26"/>
          <w:szCs w:val="26"/>
        </w:rPr>
        <w:t xml:space="preserve">№ 876 </w:t>
      </w:r>
      <w:r>
        <w:rPr>
          <w:rFonts w:ascii="Times New Roman" w:hAnsi="Times New Roman"/>
          <w:sz w:val="26"/>
          <w:szCs w:val="26"/>
        </w:rPr>
        <w:t xml:space="preserve">о выполнении 20% целевого показателя эффективности деятельности орг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нов го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ударственной власти субъектов Российской Федерации по осуществлению переданных им полномочий Российской Федерации в области сохранения, испол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зования, популяризации и государственной охраны объектов культурного насл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дия, показатели в Чувашской Республике ежегодно составляют 20 % от общего числа объектов культурного наследия федерального значения, ра</w:t>
      </w:r>
      <w:r>
        <w:rPr>
          <w:rFonts w:ascii="Times New Roman" w:hAnsi="Times New Roman"/>
          <w:sz w:val="26"/>
          <w:szCs w:val="26"/>
          <w:highlight w:val="white"/>
        </w:rPr>
        <w:t xml:space="preserve">сположенных на территории соо</w:t>
      </w:r>
      <w:r>
        <w:rPr>
          <w:rFonts w:ascii="Times New Roman" w:hAnsi="Times New Roman"/>
          <w:sz w:val="26"/>
          <w:szCs w:val="26"/>
          <w:highlight w:val="white"/>
        </w:rPr>
        <w:t xml:space="preserve">т</w:t>
      </w:r>
      <w:r>
        <w:rPr>
          <w:rFonts w:ascii="Times New Roman" w:hAnsi="Times New Roman"/>
          <w:sz w:val="26"/>
          <w:szCs w:val="26"/>
          <w:highlight w:val="white"/>
        </w:rPr>
        <w:t xml:space="preserve">ветствующего субъекта Российской Федерации.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862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отрудниками Минкультуры Чувашии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2024 г. на основании требован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ия прокурора Чувашской Республики проведено внеплановое контрольное (надзорное) мероприятие в виде инспекционного визита территории объекта культурного наследия федерального значения «Городище», средние века, расположенного по адресу: Чувашская Республика,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г. Чебоксары, в черте старого города.  </w:t>
      </w:r>
      <w:r>
        <w:rPr>
          <w:highlight w:val="white"/>
        </w:rPr>
      </w:r>
      <w:r>
        <w:rPr>
          <w:highlight w:val="white"/>
        </w:rPr>
      </w:r>
    </w:p>
    <w:p>
      <w:pPr>
        <w:pStyle w:val="862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ходе инспекционного визита выявлены нарушения действующего законодательства в области охраны объектов культурного наследия, а именно </w:t>
        <w:br/>
        <w:t xml:space="preserve">ст. 28, 30, 36 Федерального закона от 25 июня 2002 г. № 73-ФЗ «Об объектах культурного наследия (памятниках истории и 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льтуры) народов Российской Федерации». </w:t>
      </w:r>
      <w:r>
        <w:rPr>
          <w:highlight w:val="white"/>
        </w:rPr>
      </w:r>
      <w:r>
        <w:rPr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30 октября 2024 г. в отношении представителя собственника земельного участка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оставлен протокол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направлен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Московский районный суд г. Чебоксары Чувашской Республики.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Плановых проверок юридических лиц и индивидуальных предпринимателей в отчетном периоде не проводилось.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tabs>
          <w:tab w:val="left" w:pos="4020" w:leader="none"/>
        </w:tabs>
        <w:rPr>
          <w:sz w:val="26"/>
          <w:szCs w:val="26"/>
          <w:highlight w:val="white"/>
        </w:rPr>
        <w:outlineLvl w:val="0"/>
      </w:pPr>
      <w:r>
        <w:rPr>
          <w:sz w:val="26"/>
          <w:szCs w:val="26"/>
          <w:highlight w:val="white"/>
        </w:rPr>
        <w:t xml:space="preserve">В 2024</w:t>
      </w:r>
      <w:r>
        <w:rPr>
          <w:sz w:val="26"/>
          <w:szCs w:val="26"/>
          <w:highlight w:val="white"/>
        </w:rPr>
        <w:t xml:space="preserve"> году в отношении </w:t>
      </w:r>
      <w:r>
        <w:rPr>
          <w:sz w:val="26"/>
          <w:szCs w:val="26"/>
          <w:highlight w:val="white"/>
        </w:rPr>
        <w:t xml:space="preserve">5 памятников архите</w:t>
      </w:r>
      <w:r>
        <w:rPr>
          <w:sz w:val="26"/>
          <w:szCs w:val="26"/>
          <w:highlight w:val="white"/>
        </w:rPr>
        <w:t xml:space="preserve">к</w:t>
      </w:r>
      <w:r>
        <w:rPr>
          <w:sz w:val="26"/>
          <w:szCs w:val="26"/>
          <w:highlight w:val="white"/>
        </w:rPr>
        <w:t xml:space="preserve">туры федерального значения </w:t>
      </w:r>
      <w:r>
        <w:rPr>
          <w:sz w:val="26"/>
          <w:szCs w:val="26"/>
          <w:highlight w:val="white"/>
        </w:rPr>
        <w:t xml:space="preserve">утверждены предметы охраны. В отноше</w:t>
      </w:r>
      <w:r>
        <w:rPr>
          <w:sz w:val="26"/>
          <w:szCs w:val="26"/>
          <w:highlight w:val="white"/>
        </w:rPr>
        <w:t xml:space="preserve">нии 21 </w:t>
      </w:r>
      <w:r>
        <w:rPr>
          <w:sz w:val="26"/>
          <w:szCs w:val="26"/>
          <w:highlight w:val="white"/>
        </w:rPr>
        <w:t xml:space="preserve">памятника археологии </w:t>
      </w:r>
      <w:r>
        <w:rPr>
          <w:sz w:val="26"/>
          <w:szCs w:val="26"/>
          <w:highlight w:val="white"/>
        </w:rPr>
        <w:t xml:space="preserve">и 1 памятника архитектуры </w:t>
      </w:r>
      <w:r>
        <w:rPr>
          <w:sz w:val="26"/>
          <w:szCs w:val="26"/>
          <w:highlight w:val="white"/>
        </w:rPr>
        <w:t xml:space="preserve">федерального значения утверждены охранные обязательства собственника или иного законного владельца объекта культу</w:t>
      </w:r>
      <w:r>
        <w:rPr>
          <w:sz w:val="26"/>
          <w:szCs w:val="26"/>
          <w:highlight w:val="white"/>
        </w:rPr>
        <w:t xml:space="preserve">р</w:t>
      </w:r>
      <w:r>
        <w:rPr>
          <w:sz w:val="26"/>
          <w:szCs w:val="26"/>
          <w:highlight w:val="white"/>
        </w:rPr>
        <w:t xml:space="preserve">ного наследия.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36"/>
        <w:spacing w:line="240" w:lineRule="auto"/>
        <w:rPr>
          <w:sz w:val="26"/>
          <w:szCs w:val="26"/>
        </w:rPr>
      </w:pPr>
      <w:r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 xml:space="preserve">Обращений о</w:t>
      </w:r>
      <w:r>
        <w:rPr>
          <w:sz w:val="26"/>
          <w:szCs w:val="26"/>
        </w:rPr>
        <w:t xml:space="preserve"> согласовании землеустроительной документации и решениях федеральных органов государственной власти, органов государственной власти субъекта Российской Федерации и органов местного самоуправления о предоста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лении земельных участков и (или) изменении их правового режима в адрес Мин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стерства не поступало.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540"/>
        <w:spacing w:line="240" w:lineRule="auto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В целях предупреждения нарушений контролируемыми лицами обязательных требований устранения причин, факторов и условий, способствующих указанным нарушениям, Министерством осуществляются мероприятия по профилактике т</w:t>
      </w:r>
      <w:r>
        <w:rPr>
          <w:iCs/>
          <w:color w:val="000000"/>
          <w:sz w:val="26"/>
          <w:szCs w:val="26"/>
        </w:rPr>
        <w:t xml:space="preserve">а</w:t>
      </w:r>
      <w:r>
        <w:rPr>
          <w:iCs/>
          <w:color w:val="000000"/>
          <w:sz w:val="26"/>
          <w:szCs w:val="26"/>
        </w:rPr>
        <w:t xml:space="preserve">ких нарушений в соответствии с </w:t>
      </w:r>
      <w:r>
        <w:rPr>
          <w:sz w:val="26"/>
          <w:szCs w:val="26"/>
        </w:rPr>
        <w:t xml:space="preserve">Программой профилактики нарушений обязател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требований.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частности, в рамках реализации Программных мероприятий на официал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ном сайте Министерства (</w:t>
      </w:r>
      <w:r>
        <w:fldChar w:fldCharType="begin"/>
      </w:r>
      <w:r>
        <w:instrText xml:space="preserve"> HYPERLINK "https://culture.cap.ru/action/activity/kontroljno-nadzornaya-deyateljnostj/kontroljnie-funkcii/federaljnij-gosudarstvennij-nadzor-v-oblasti-ohran/perechenj-aktov-soderzhaschih-obyazateljnie-trebov" </w:instrText>
      </w:r>
      <w:r>
        <w:fldChar w:fldCharType="separate"/>
      </w:r>
      <w:r>
        <w:rPr>
          <w:rFonts w:ascii="Times New Roman" w:hAnsi="Times New Roman"/>
          <w:sz w:val="26"/>
          <w:szCs w:val="26"/>
        </w:rPr>
        <w:t xml:space="preserve">https://culture.cap.ru/action/activity/kontroljno-nadzornaya-deyateljnostj/kontroljnie-funkcii/federaljnij-gosudarstvennij-nadzor-v-oblasti-ohran/perechenj-aktov-soderzhaschih-obyazateljnie-trebov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) обеспечено размещение перечня актов, содержащих обязательные требования, соблюдение которых оцен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вается при осуществлении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(по переданным полномочиям).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Министерством активно проводится профилактическое мероприятие в виде информирования. Главам муниципальных образований Чувашской Республики направлены информационные письма  с пе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ечнем нормативных правовых актов: с указанием структурных единиц этих актов, содержащих обязательные требования, оценка соблюдения которых является предметом контроля, информацию о мерах ответственности, применяемых при нарушении обязательных требований, с</w:t>
      </w:r>
      <w:r>
        <w:rPr>
          <w:rFonts w:ascii="Times New Roman" w:hAnsi="Times New Roman"/>
          <w:sz w:val="26"/>
          <w:szCs w:val="26"/>
        </w:rPr>
        <w:t xml:space="preserve"> текстами в действующей редакции, а также информацию об объектах культурного наследия, находящихся на подконтрольных территориях.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9"/>
        <w:jc w:val="both"/>
        <w:rPr>
          <w:rStyle w:val="864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Информирование юридических лиц, индивидуальных предпринимателей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, физических лиц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по вопросам соблюдения обязательных требований обеспечено п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о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средством опубликования на официальном сайте Министерства руководства по с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о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блюдению требований; </w:t>
      </w:r>
      <w:r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практики; докладов с обзором практики осуществления федерального государственного надзора, </w:t>
      </w:r>
      <w:r>
        <w:rPr>
          <w:rStyle w:val="864"/>
          <w:sz w:val="26"/>
          <w:szCs w:val="26"/>
        </w:rPr>
        <w:t xml:space="preserve">проведения разъяснительной работы с привлечением средств массовой информации (и</w:t>
      </w:r>
      <w:r>
        <w:rPr>
          <w:rStyle w:val="864"/>
          <w:sz w:val="26"/>
          <w:szCs w:val="26"/>
        </w:rPr>
        <w:t xml:space="preserve">н</w:t>
      </w:r>
      <w:r>
        <w:rPr>
          <w:rStyle w:val="864"/>
          <w:sz w:val="26"/>
          <w:szCs w:val="26"/>
        </w:rPr>
        <w:t xml:space="preserve">тервью, статьи и пр.). </w:t>
      </w:r>
      <w:r>
        <w:rPr>
          <w:rStyle w:val="864"/>
          <w:sz w:val="26"/>
          <w:szCs w:val="26"/>
        </w:rPr>
      </w:r>
      <w:r>
        <w:rPr>
          <w:rStyle w:val="864"/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Выполняемые программные мероприятия направлены 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предупреждение нарушений подконтрольными субъектами обязательных требований (снижение числа нарушений обязательных требований);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предотвращение причинения вреда либо угрозы причинения вреда охран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емым законом объектам культурного наследия вследствие нарушений обязател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требований;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повышение прозрачности деятельности при осуществлении федерального государственного надзора;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3"/>
        <w:ind w:firstLine="709"/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формирование моделей социально ответственного, добросовестного, пр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вового поведения подконтрольных субъектов.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2. Цели и задачи реализации программы профилактики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3"/>
        <w:contextualSpacing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Профилактическая работа в Министерстве представляет собой системно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дующих </w:t>
      </w:r>
      <w:r>
        <w:rPr>
          <w:b/>
          <w:sz w:val="26"/>
          <w:szCs w:val="26"/>
        </w:rPr>
        <w:t xml:space="preserve">основных целей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предупреждение нарушений подконтрольными субъектами обязательных требований (снижение числа нарушений обязательных требований);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предотвращение причинения вреда либо угрозы причинения вреда охраня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мым законом ценностям вследствие нарушений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прозрачности деятельности Министерства при осуществлении федерального государственного надзора;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моделей социально ответственного, добросовестного, прав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вого поведения подконтрольных субъектов.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достижения поставленных целей настоящей программы необходимо р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шение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следующих задач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выявление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устранение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повышение уровня правовой грамотности подконтрольных субъектов;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единого понимания обязательных требований у всех участн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ков отношений в области федерального государственного надзора, в том числе п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тем разъяснения подконтрольным субъектам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и, как следствие, снижение вреда, причиняемого охраняемым законом ценностям;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состояния подконтрольной среды и особенностей подконтрольных субъектов (объектов);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профилактических мероприятий с учетом данных состояния по</w:t>
      </w: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контрольной среды и особенностей конкретных подконтрольных субъектов (объе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тов);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сбор и анализ статистических данных, необходимых для организации проф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лактической работы, в том числе для определения видов, форм и интенсивности профилактических мероприятий.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right="-14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3. Перечень профилактических мероприятий, сроки (периодичность) их проведения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9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3261"/>
        <w:gridCol w:w="2835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выполнения 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роприятия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исполнение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Информирование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15 календа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дней с момента принятия нормативных правовых актов,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грамм, перечней, рук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водств и иных свед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ний или внесения  в них изменений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+7 (8352) 565432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Обобщение правоприм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нительной практики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1 февраля года,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следующего за отчетным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предостер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жения </w:t>
            </w:r>
            <w:r>
              <w:rPr>
                <w:bCs/>
                <w:sz w:val="26"/>
                <w:szCs w:val="26"/>
              </w:rPr>
              <w:t xml:space="preserve">о недопустимости нарушения обязательных требований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30 кале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дарных дней со дня получения сведений, указанных в части 1 статьи 49 Федеральн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закона № 248-ФЗ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Консультирование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ежедневно, кроме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ходных и праздничных дней с 10:00 до 16:00, перерыв с 12:00 до 13:00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Профилактический визит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(обязательные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профилактические визиты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проводятся при смене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собственника объекта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контроля (его части), а также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владеющего объектом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контроля (его частью)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праве оперативного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управления либо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хозяйственного ведения)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36"/>
        <w:ind w:right="-14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firstLine="709"/>
        <w:jc w:val="center"/>
        <w:spacing w:line="240" w:lineRule="auto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  <w:t xml:space="preserve">Раздел 4. Показатели результативности и эффективности программы профилактики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firstLine="709"/>
        <w:jc w:val="center"/>
        <w:spacing w:line="240" w:lineRule="auto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критериями оценки эффективности и результативности проф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лактических мероприятий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результативность деятельности Министерства;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информированность контролируемых лиц об обязательных требованиях, о принятых и готовящихся изменениях в системе обязательных требований, о поря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ке проведения контрольных (надзорных) мероприятий, правах контролируемых лиц в ходе контрольных (надзорных) мероприятий;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понятность обязательных требований контролируемым лицам;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вовлечение контролируемых лиц во взаимодействие с Министерством, в том числе в рамках проводимых профилактических мероприятий.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и результативности профилактических мероприятий осуществляется в ходе анализа выполнения мероприятий Программы профилакт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ки по следующим индикативным показателям: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проведенных профилактических мероприятий,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количество докладов по профилактике нарушений обязательных требов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ний, размещенных на официальном сайте Министерства в сети «Интернет»,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контролируемых лиц, в отношении которых проведены проф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лактические мероприятия,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наличие на официальном сайте Министерства в сети «Интернет» актуал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ного перечня актов, содержащих обязательные требования, соблюдение которых оценивается при проведении мероприятий по контролю;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консультаций, оказанных контролируемым лицам по вопросам соблюдения обязательных требований, содержащихся в нормативных правовых 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тах,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обобщений практики осуществления </w:t>
      </w:r>
      <w:r>
        <w:rPr>
          <w:rFonts w:ascii="Times New Roman" w:hAnsi="Times New Roman"/>
          <w:sz w:val="26"/>
          <w:szCs w:val="26"/>
        </w:rPr>
        <w:t xml:space="preserve">федерального</w:t>
      </w:r>
      <w:r>
        <w:rPr>
          <w:rFonts w:ascii="Times New Roman" w:hAnsi="Times New Roman"/>
          <w:sz w:val="26"/>
          <w:szCs w:val="26"/>
        </w:rPr>
        <w:t xml:space="preserve"> госуда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ственного контроля (надзора), размещенных на официальном сайте Министерства в сети «Интернет»,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денной Министерством.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эффективности и результативности профилактических мероприятий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</w:t>
      </w:r>
      <w:r>
        <w:rPr>
          <w:rFonts w:ascii="Times New Roman" w:hAnsi="Times New Roman"/>
          <w:sz w:val="26"/>
          <w:szCs w:val="26"/>
        </w:rPr>
        <w:t xml:space="preserve">4 году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Полнота информации, размещенной на официальном сайте Министерства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100 %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Удовлетворенность контролируемых лиц и их пре</w:t>
            </w:r>
            <w:r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ставителей доступностью на официальном сайте М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нистерства в сети «Интернет» информации о прин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тых и готовящихся изменениях обязательных треб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80 %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профилактических мер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приятий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20 меропр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ятий, проведенных контрольным (надзорным) органом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6"/>
        <w:contextualSpacing/>
        <w:ind w:right="321" w:firstLine="709"/>
        <w:spacing w:line="240" w:lineRule="auto"/>
        <w:shd w:val="clear" w:color="auto" w:fill="ffffff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contextualSpacing/>
        <w:ind w:firstLine="709"/>
        <w:spacing w:line="240" w:lineRule="auto"/>
        <w:shd w:val="clear" w:color="auto" w:fill="ffffff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эффективности реализации программы рассчитывается ежегодно (по итогам календарного года) по результатам анализа характеристик достижения зн</w:t>
      </w:r>
      <w:r>
        <w:rPr>
          <w:rFonts w:eastAsia="Calibri"/>
          <w:sz w:val="26"/>
          <w:szCs w:val="26"/>
        </w:rPr>
        <w:t xml:space="preserve">а</w:t>
      </w:r>
      <w:r>
        <w:rPr>
          <w:rFonts w:eastAsia="Calibri"/>
          <w:sz w:val="26"/>
          <w:szCs w:val="26"/>
        </w:rPr>
        <w:t xml:space="preserve">чений целевых показателей реализации программы.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contextualSpacing/>
        <w:ind w:firstLine="709"/>
        <w:spacing w:line="240" w:lineRule="auto"/>
        <w:shd w:val="clear" w:color="auto" w:fill="ffffff"/>
        <w:tabs>
          <w:tab w:val="left" w:pos="9356" w:leader="none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Отклонение фактического значения одного из показателей от целевого зн</w:t>
      </w:r>
      <w:r>
        <w:rPr>
          <w:rFonts w:eastAsia="Calibri"/>
          <w:sz w:val="26"/>
          <w:szCs w:val="26"/>
        </w:rPr>
        <w:t xml:space="preserve">а</w:t>
      </w:r>
      <w:r>
        <w:rPr>
          <w:rFonts w:eastAsia="Calibri"/>
          <w:sz w:val="26"/>
          <w:szCs w:val="26"/>
        </w:rPr>
        <w:t xml:space="preserve">чения более чем на 20 % в сторону уменьшения, свидетельствует о низкой эффе</w:t>
      </w:r>
      <w:r>
        <w:rPr>
          <w:rFonts w:eastAsia="Calibri"/>
          <w:sz w:val="26"/>
          <w:szCs w:val="26"/>
        </w:rPr>
        <w:t xml:space="preserve">к</w:t>
      </w:r>
      <w:r>
        <w:rPr>
          <w:rFonts w:eastAsia="Calibri"/>
          <w:sz w:val="26"/>
          <w:szCs w:val="26"/>
        </w:rPr>
        <w:t xml:space="preserve">тивности программы профилактики и требует корректировки программы в части изменения интенсивности мероприятий и форм профилактических во</w:t>
      </w:r>
      <w:r>
        <w:rPr>
          <w:rFonts w:eastAsia="Calibri"/>
          <w:sz w:val="26"/>
          <w:szCs w:val="26"/>
        </w:rPr>
        <w:t xml:space="preserve">з</w:t>
      </w:r>
      <w:r>
        <w:rPr>
          <w:rFonts w:eastAsia="Calibri"/>
          <w:sz w:val="26"/>
          <w:szCs w:val="26"/>
        </w:rPr>
        <w:t xml:space="preserve">действий.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73"/>
        <w:gridCol w:w="1030"/>
        <w:gridCol w:w="49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Приложение № 2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 приказу Министерства культуры, по д</w:t>
            </w:r>
            <w:r>
              <w:rPr>
                <w:rFonts w:eastAsia="Calibri"/>
                <w:sz w:val="26"/>
                <w:szCs w:val="26"/>
              </w:rPr>
              <w:t xml:space="preserve">е</w:t>
            </w:r>
            <w:r>
              <w:rPr>
                <w:rFonts w:eastAsia="Calibri"/>
                <w:sz w:val="26"/>
                <w:szCs w:val="26"/>
              </w:rPr>
              <w:t xml:space="preserve">лам национальностей и архивного дела Чувашской Республики 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83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 _____________ 202</w:t>
            </w:r>
            <w:r>
              <w:rPr>
                <w:rFonts w:eastAsia="Calibri"/>
                <w:sz w:val="26"/>
                <w:szCs w:val="26"/>
              </w:rPr>
              <w:t xml:space="preserve">4 г. № ___________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pStyle w:val="8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spacing w:line="240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Программа </w:t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836"/>
        <w:jc w:val="center"/>
        <w:spacing w:line="240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</w:t>
      </w:r>
      <w:r>
        <w:rPr>
          <w:rFonts w:eastAsia="Calibri"/>
          <w:b/>
          <w:sz w:val="26"/>
          <w:szCs w:val="26"/>
          <w:lang w:eastAsia="en-US"/>
        </w:rPr>
        <w:t xml:space="preserve">н</w:t>
      </w:r>
      <w:r>
        <w:rPr>
          <w:rFonts w:eastAsia="Calibri"/>
          <w:b/>
          <w:sz w:val="26"/>
          <w:szCs w:val="26"/>
          <w:lang w:eastAsia="en-US"/>
        </w:rPr>
        <w:t xml:space="preserve">ностям при осуществлении регионального государственного контроля (надз</w:t>
      </w:r>
      <w:r>
        <w:rPr>
          <w:rFonts w:eastAsia="Calibri"/>
          <w:b/>
          <w:sz w:val="26"/>
          <w:szCs w:val="26"/>
          <w:lang w:eastAsia="en-US"/>
        </w:rPr>
        <w:t xml:space="preserve">о</w:t>
      </w:r>
      <w:r>
        <w:rPr>
          <w:rFonts w:eastAsia="Calibri"/>
          <w:b/>
          <w:sz w:val="26"/>
          <w:szCs w:val="26"/>
          <w:lang w:eastAsia="en-US"/>
        </w:rPr>
        <w:t xml:space="preserve">ра) </w:t>
      </w:r>
      <w:r>
        <w:rPr>
          <w:b/>
          <w:sz w:val="26"/>
          <w:szCs w:val="26"/>
        </w:rPr>
        <w:t xml:space="preserve">за состоянием, содержанием, сохранением, использованием, популяриз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цией и государственной охраной объектов культурного наследия регионал</w:t>
      </w:r>
      <w:r>
        <w:rPr>
          <w:b/>
          <w:sz w:val="26"/>
          <w:szCs w:val="26"/>
        </w:rPr>
        <w:t xml:space="preserve">ь</w:t>
      </w:r>
      <w:r>
        <w:rPr>
          <w:b/>
          <w:sz w:val="26"/>
          <w:szCs w:val="26"/>
        </w:rPr>
        <w:t xml:space="preserve">ного значения, объектов культу</w:t>
      </w: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ного наследия местного (муниципального) значения, выявленных объектов культу</w:t>
      </w: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ного наследия</w:t>
      </w:r>
      <w:r>
        <w:rPr>
          <w:rFonts w:eastAsia="Calibri"/>
          <w:b/>
          <w:sz w:val="26"/>
          <w:szCs w:val="26"/>
          <w:lang w:eastAsia="en-US"/>
        </w:rPr>
        <w:t xml:space="preserve"> на 202</w:t>
      </w:r>
      <w:r>
        <w:rPr>
          <w:rFonts w:eastAsia="Calibri"/>
          <w:b/>
          <w:sz w:val="26"/>
          <w:szCs w:val="26"/>
          <w:lang w:eastAsia="en-US"/>
        </w:rPr>
        <w:t xml:space="preserve">5 г</w:t>
      </w:r>
      <w:r>
        <w:rPr>
          <w:rFonts w:eastAsia="Calibri"/>
          <w:b/>
          <w:sz w:val="26"/>
          <w:szCs w:val="26"/>
          <w:lang w:eastAsia="en-US"/>
        </w:rPr>
        <w:t xml:space="preserve">од</w:t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836"/>
        <w:ind w:firstLine="709"/>
        <w:spacing w:line="240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в соответствии со статьей 44 Федеральн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закона от 31 июля 2020 г. № 248-ФЗ «О государственном контроле (надзоре) и м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ниципальном контроле в Российской Федерации» (далее – Федеральный закон № 248-ФЗ)</w:t>
      </w:r>
      <w:r>
        <w:rPr>
          <w:sz w:val="26"/>
          <w:szCs w:val="26"/>
        </w:rPr>
        <w:t xml:space="preserve">, постановлением Правительства Российской Федерации от 25 июня 2021 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нием Кабинета Министров Чувашской Республики от 22 сентября 2021 г. № 463 «Об утверждении Положения о региональном государственном контроле (надзоре) за состо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нием, содержанием, сохранением, использованием, популяризацией и государственной охраной объе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тов кул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турного наследия регионального значения, объектов культурного наследия местного (муниципального) значения, выявленных объектов культурного насл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дия» (далее – постановление Кабинета Министров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 от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22 сентября 2021 г. № 463) и предусматривает комплекс мероприятий, направле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ных на минимизацию риска причинения вреда (ущерба) охраняемым законом це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ностям, вызванного нарушениями обязательных треб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Региональный государственный конт</w:t>
      </w:r>
      <w:r>
        <w:rPr>
          <w:sz w:val="26"/>
          <w:szCs w:val="26"/>
        </w:rPr>
        <w:t xml:space="preserve">роль (надзор) на территории Чувашской Республики осуществляется отделом по охране объектов культурного наследия Министерства культуры, по делам национальностей и архивного дела Чувашской Республики (далее соответственно – Отдел, Министерство) на основании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ст. 11 </w:t>
      </w:r>
      <w:r>
        <w:rPr>
          <w:sz w:val="26"/>
          <w:szCs w:val="26"/>
          <w:shd w:val="clear" w:color="auto" w:fill="ffffff"/>
        </w:rPr>
        <w:t xml:space="preserve">Федерального закона от 25 июня 2002 г. № 73-ФЗ </w:t>
      </w:r>
      <w:r>
        <w:rPr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Федерации»,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становления Кабинета Министров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 от 22 сентября 2021 г.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№ 463, приказа Министерства культуры, по делам национал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ностей и архивного дела Чувашской Республики от 11 декабря 2020 г. № 01-07/931 «Об утверждении положений о структурных подразделениях Министерства культуры, по делам национальностей и архивного дела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Республики».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0"/>
        <w:ind w:firstLine="709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целей настоящей программы используются определения и понятия, установленные Ф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деральным законом № 248-ФЗ.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представляет собой взаимосвязанный по целям, зад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чам,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сурсам и срокам осуществления комплекс профилактических мероприятий, обеспечива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щих эффективное решение проблем, препятствующих соблюдению контролируемыми 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цами обязательных требований, направленных на выявление и устранение конкретных причин и факторов несоблюдения обязательных требов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ний, а также на создание и разв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тие системы профилактики.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1. Анализ текущего состояния осуществления вида контроля,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описание текущ</w:t>
      </w:r>
      <w:r>
        <w:rPr>
          <w:b/>
          <w:bCs/>
          <w:sz w:val="26"/>
          <w:szCs w:val="26"/>
        </w:rPr>
        <w:t xml:space="preserve">е</w:t>
      </w:r>
      <w:r>
        <w:rPr>
          <w:b/>
          <w:bCs/>
          <w:sz w:val="26"/>
          <w:szCs w:val="26"/>
        </w:rPr>
        <w:t xml:space="preserve">го уровня развития профилактической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деятельности контрольного (надзорного) органа, характеристика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проблем, на решение которых направлена программа профилактики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Чу</w:t>
      </w:r>
      <w:r>
        <w:rPr>
          <w:rFonts w:ascii="Times New Roman" w:hAnsi="Times New Roman"/>
          <w:sz w:val="26"/>
          <w:szCs w:val="26"/>
        </w:rPr>
        <w:t xml:space="preserve">вашской Республики находятся 476 объектов</w:t>
      </w:r>
      <w:r>
        <w:rPr>
          <w:rFonts w:ascii="Times New Roman" w:hAnsi="Times New Roman"/>
          <w:sz w:val="26"/>
          <w:szCs w:val="26"/>
        </w:rPr>
        <w:t xml:space="preserve"> культурного наследия регионального значения.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6"/>
        <w:ind w:firstLine="708"/>
        <w:spacing w:line="240" w:lineRule="auto"/>
      </w:pPr>
      <w:r>
        <w:rPr>
          <w:sz w:val="26"/>
          <w:szCs w:val="26"/>
        </w:rPr>
        <w:t xml:space="preserve">В 2024 году уполномоченными лицами Министерства в рамках региональн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государственного контроля (надзора) проведено выездное обследование 12 об</w:t>
      </w:r>
      <w:r>
        <w:rPr>
          <w:sz w:val="26"/>
          <w:szCs w:val="26"/>
        </w:rPr>
        <w:t xml:space="preserve">ъ</w:t>
      </w:r>
      <w:r>
        <w:rPr>
          <w:sz w:val="26"/>
          <w:szCs w:val="26"/>
        </w:rPr>
        <w:t xml:space="preserve">ектов культурного наследия регионального значения. По результатам выездных обследований объявлено 12 предостережений о недоп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стимости нарушения обязательных требований, </w:t>
      </w:r>
      <w:r>
        <w:rPr>
          <w:sz w:val="26"/>
          <w:szCs w:val="26"/>
        </w:rPr>
        <w:t xml:space="preserve">направлено в суд 2 исковых заявления о понуждении исполнить обязательства в области сохранения, использования, популяризации и государстве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ной охраны объектов культурного наследия, 1 исковое заявление об </w:t>
      </w:r>
      <w:r>
        <w:rPr>
          <w:sz w:val="26"/>
          <w:szCs w:val="26"/>
        </w:rPr>
        <w:t xml:space="preserve">изъятии из собственности правообладателя (собственника) объекта </w:t>
      </w:r>
      <w:r>
        <w:rPr>
          <w:sz w:val="26"/>
          <w:szCs w:val="26"/>
        </w:rPr>
        <w:t xml:space="preserve">культурного наследия</w:t>
      </w:r>
      <w:r>
        <w:t xml:space="preserve">.</w:t>
      </w:r>
      <w:r>
        <w:rPr>
          <w:sz w:val="26"/>
          <w:szCs w:val="26"/>
        </w:rPr>
      </w:r>
      <w:r/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со вступлением в силу постановления Правительства Российской Федерации от 10 марта 2022 г. № 336 «Об особенностях организации и осущест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ления государственного контроля (надзора), муниципального контроля» провед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 в 2024 г. контрольно-надзорных мероприятий было существенно сокращено. Контрольно-надзорные мероприятия в основном проводились на основании наступления соб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тий, указанных в программе проверок.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Так, на основании наступления событий, указанных в программе проверок проведены контрольно-надзорные мероприятия в виде инспекционных визитов 10 объектов культурного наследия регионального значения.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2024 году плановых проверок не провод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лось.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spacing w:line="240" w:lineRule="auto"/>
        <w:rPr>
          <w:sz w:val="26"/>
          <w:szCs w:val="26"/>
        </w:rPr>
      </w:pPr>
      <w:r>
        <w:rPr>
          <w:iCs/>
          <w:sz w:val="26"/>
          <w:szCs w:val="26"/>
        </w:rPr>
        <w:t xml:space="preserve">В целях предупреждения нарушений контролируемыми лицами обязател</w:t>
      </w:r>
      <w:r>
        <w:rPr>
          <w:iCs/>
          <w:sz w:val="26"/>
          <w:szCs w:val="26"/>
        </w:rPr>
        <w:t xml:space="preserve">ь</w:t>
      </w:r>
      <w:r>
        <w:rPr>
          <w:iCs/>
          <w:sz w:val="26"/>
          <w:szCs w:val="26"/>
        </w:rPr>
        <w:t xml:space="preserve">ных требований устранения причин, факторов и условий, способствующих указа</w:t>
      </w:r>
      <w:r>
        <w:rPr>
          <w:iCs/>
          <w:sz w:val="26"/>
          <w:szCs w:val="26"/>
        </w:rPr>
        <w:t xml:space="preserve">н</w:t>
      </w:r>
      <w:r>
        <w:rPr>
          <w:iCs/>
          <w:sz w:val="26"/>
          <w:szCs w:val="26"/>
        </w:rPr>
        <w:t xml:space="preserve">ным нарушениям, Министерством осуществляются мероприятия по профилактике таких нарушений в соответствии с </w:t>
      </w:r>
      <w:r>
        <w:rPr>
          <w:sz w:val="26"/>
          <w:szCs w:val="26"/>
        </w:rPr>
        <w:t xml:space="preserve">Программой профилактики нарушений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тельных треб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ind w:firstLine="709"/>
        <w:jc w:val="both"/>
        <w:rPr>
          <w:rStyle w:val="864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Информирование юридических лиц, индивидуальных предпринимателей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физических лиц</w:t>
      </w:r>
      <w:r>
        <w:rPr>
          <w:rFonts w:ascii="Times New Roman" w:hAnsi="Times New Roman"/>
          <w:iCs/>
          <w:sz w:val="26"/>
          <w:szCs w:val="26"/>
        </w:rPr>
        <w:t xml:space="preserve"> по вопросам соблюдения обязательных требований обеспечено п</w:t>
      </w:r>
      <w:r>
        <w:rPr>
          <w:rFonts w:ascii="Times New Roman" w:hAnsi="Times New Roman"/>
          <w:iCs/>
          <w:sz w:val="26"/>
          <w:szCs w:val="26"/>
        </w:rPr>
        <w:t xml:space="preserve">о</w:t>
      </w:r>
      <w:r>
        <w:rPr>
          <w:rFonts w:ascii="Times New Roman" w:hAnsi="Times New Roman"/>
          <w:iCs/>
          <w:sz w:val="26"/>
          <w:szCs w:val="26"/>
        </w:rPr>
        <w:t xml:space="preserve">средством опубликования на официальном сайте Министерства руководства по с</w:t>
      </w:r>
      <w:r>
        <w:rPr>
          <w:rFonts w:ascii="Times New Roman" w:hAnsi="Times New Roman"/>
          <w:iCs/>
          <w:sz w:val="26"/>
          <w:szCs w:val="26"/>
        </w:rPr>
        <w:t xml:space="preserve">о</w:t>
      </w:r>
      <w:r>
        <w:rPr>
          <w:rFonts w:ascii="Times New Roman" w:hAnsi="Times New Roman"/>
          <w:iCs/>
          <w:sz w:val="26"/>
          <w:szCs w:val="26"/>
        </w:rPr>
        <w:t xml:space="preserve">блюдению треб</w:t>
      </w:r>
      <w:r>
        <w:rPr>
          <w:rFonts w:ascii="Times New Roman" w:hAnsi="Times New Roman"/>
          <w:iCs/>
          <w:sz w:val="26"/>
          <w:szCs w:val="26"/>
        </w:rPr>
        <w:t xml:space="preserve">о</w:t>
      </w:r>
      <w:r>
        <w:rPr>
          <w:rFonts w:ascii="Times New Roman" w:hAnsi="Times New Roman"/>
          <w:iCs/>
          <w:sz w:val="26"/>
          <w:szCs w:val="26"/>
        </w:rPr>
        <w:t xml:space="preserve">ваний; </w:t>
      </w:r>
      <w:r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практики; докладов с обзором практики осуществления регионального государственного ко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троля (надзора), </w:t>
      </w:r>
      <w:r>
        <w:rPr>
          <w:rStyle w:val="864"/>
          <w:sz w:val="26"/>
          <w:szCs w:val="26"/>
        </w:rPr>
        <w:t xml:space="preserve">проведения разъяснительной работы с привлечением средств ма</w:t>
      </w:r>
      <w:r>
        <w:rPr>
          <w:rStyle w:val="864"/>
          <w:sz w:val="26"/>
          <w:szCs w:val="26"/>
        </w:rPr>
        <w:t xml:space="preserve">с</w:t>
      </w:r>
      <w:r>
        <w:rPr>
          <w:rStyle w:val="864"/>
          <w:sz w:val="26"/>
          <w:szCs w:val="26"/>
        </w:rPr>
        <w:t xml:space="preserve">совой информации (интервью, ст</w:t>
      </w:r>
      <w:r>
        <w:rPr>
          <w:rStyle w:val="864"/>
          <w:sz w:val="26"/>
          <w:szCs w:val="26"/>
        </w:rPr>
        <w:t xml:space="preserve">а</w:t>
      </w:r>
      <w:r>
        <w:rPr>
          <w:rStyle w:val="864"/>
          <w:sz w:val="26"/>
          <w:szCs w:val="26"/>
        </w:rPr>
        <w:t xml:space="preserve">тьи и пр.). </w:t>
      </w:r>
      <w:r>
        <w:rPr>
          <w:rStyle w:val="864"/>
          <w:sz w:val="26"/>
          <w:szCs w:val="26"/>
        </w:rPr>
      </w:r>
      <w:r>
        <w:rPr>
          <w:rStyle w:val="864"/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Выполняемые программные мероприятия направлены 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предупреждение нарушений подконтрольными субъектами обязательных требов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ний (снижение числа нарушений обязательных требований);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предотвращение причинения вреда либо угрозы причинения вреда охран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емым законом объектам культурного наследия вследствие нарушений обязател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требований;</w:t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повышение прозрачности деятельности при осуществлении регионального гос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дарственного контроля (надзора);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3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формирование моделей социально ответственного, добросовестного, пр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вового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ведения подконтрольных субъектов.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-143" w:firstLine="708"/>
        <w:spacing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2. Цели и задачи реализации программы профилактики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3"/>
        <w:contextualSpacing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Профилактическая работа в Министерстве представляет собой системно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дующих </w:t>
      </w:r>
      <w:r>
        <w:rPr>
          <w:b/>
          <w:sz w:val="26"/>
          <w:szCs w:val="26"/>
        </w:rPr>
        <w:t xml:space="preserve">основных ц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лей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предупреждение нарушений подконтрольными субъектами обязательных требований (снижение числа нарушений обязательных требов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ний);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предотвращение причинения вреда либо угрозы причинения вреда охраня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мым законом ценностям вследствие нарушений обязательных тр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прозрачности деятельности Министерства при осуществлении реги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нального государственного контроля (надзора);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моделей социально ответственного, добросовестного, прав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вого п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ведения подконтрольных субъектов.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достижения поставленных целей настоящей программы необходимо р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шение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следующих задач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выявление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устранение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повышение уровня правовой грамотности подконтрольных субъектов;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единого понимания обязательных требований у всех участн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ков о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ношений в области регионального государственного контроля (надзора), в том числе путем разъяснения подконтрольным субъектам обязательных требов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и, как следствие, снижение вреда, причиняемого охраняемым законом це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ностям;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состояния подконтрольной среды и особенностей подконтрольных субъектов (объектов);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профилактических мероприятий с учетом данных состояния по</w:t>
      </w: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контрольной среды и особенностей конкретных подконтрольных субъектов (объе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тов);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сбор и анализ статистических данных, необходимых для организации проф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лактической работы, в том числе для определения видов, форм и и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тенсивности профилактич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ских мероприятий.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right="-143" w:firstLine="708"/>
        <w:spacing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836"/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3. Перечень профилактических мероприятий, сроки (периодичность) их пров</w:t>
      </w:r>
      <w:r>
        <w:rPr>
          <w:b/>
          <w:bCs/>
          <w:sz w:val="26"/>
          <w:szCs w:val="26"/>
        </w:rPr>
        <w:t xml:space="preserve">е</w:t>
      </w:r>
      <w:r>
        <w:rPr>
          <w:b/>
          <w:bCs/>
          <w:sz w:val="26"/>
          <w:szCs w:val="26"/>
        </w:rPr>
        <w:t xml:space="preserve">дения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right="-143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9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3261"/>
        <w:gridCol w:w="2835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выполнения 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роприятия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исполнение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Информирование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</w:r>
          </w:p>
          <w:p>
            <w:pPr>
              <w:pStyle w:val="836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15 календа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дней с моме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 принятия нормати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правовых актов,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грамм, перечней, рук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водств и иных свед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ний или внес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  в них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менений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+7 (8352) 565432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Обобщение правоприм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нительной практики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 позднее 1 февраля года, следующего за отчетным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предостер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жения </w:t>
            </w:r>
            <w:r>
              <w:rPr>
                <w:bCs/>
                <w:sz w:val="26"/>
                <w:szCs w:val="26"/>
              </w:rPr>
              <w:t xml:space="preserve">о недопустимости нар</w:t>
            </w:r>
            <w:r>
              <w:rPr>
                <w:bCs/>
                <w:sz w:val="26"/>
                <w:szCs w:val="26"/>
              </w:rPr>
              <w:t xml:space="preserve">у</w:t>
            </w:r>
            <w:r>
              <w:rPr>
                <w:bCs/>
                <w:sz w:val="26"/>
                <w:szCs w:val="26"/>
              </w:rPr>
              <w:t xml:space="preserve">шения обязательных треб</w:t>
            </w:r>
            <w:r>
              <w:rPr>
                <w:bCs/>
                <w:sz w:val="26"/>
                <w:szCs w:val="26"/>
              </w:rPr>
              <w:t xml:space="preserve">о</w:t>
            </w:r>
            <w:r>
              <w:rPr>
                <w:bCs/>
                <w:sz w:val="26"/>
                <w:szCs w:val="26"/>
              </w:rPr>
              <w:t xml:space="preserve">ваний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30 кале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дарных дней со дня получ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 сведений, указанных в части 1 статьи 49 Федеральн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закона № 248-ФЗ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Консультирование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ежедневно, кроме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ходных и праз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ничных дней с 10:00 до 16:00, перерыв с 12:00 до 13:00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Профилактический в</w:t>
            </w:r>
            <w:r>
              <w:rPr>
                <w:bCs/>
                <w:sz w:val="26"/>
                <w:szCs w:val="26"/>
              </w:rPr>
              <w:t xml:space="preserve">и</w:t>
            </w:r>
            <w:r>
              <w:rPr>
                <w:bCs/>
                <w:sz w:val="26"/>
                <w:szCs w:val="26"/>
              </w:rPr>
              <w:t xml:space="preserve">зит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(обязательные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профилактические визиты проводятся при смене собственника объекта контроля (его части), а также лица, владеющего объектом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контроля (его частью) на праве оперативного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управления либо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pStyle w:val="85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хозяйственного ведения)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36"/>
        <w:ind w:right="-143"/>
        <w:spacing w:line="240" w:lineRule="auto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</w:r>
      <w:r>
        <w:rPr>
          <w:b/>
          <w:bCs/>
          <w:sz w:val="26"/>
          <w:szCs w:val="26"/>
          <w:lang w:eastAsia="en-US"/>
        </w:rPr>
      </w:r>
      <w:r>
        <w:rPr>
          <w:b/>
          <w:bCs/>
          <w:sz w:val="26"/>
          <w:szCs w:val="26"/>
          <w:lang w:eastAsia="en-US"/>
        </w:rPr>
      </w:r>
    </w:p>
    <w:p>
      <w:pPr>
        <w:pStyle w:val="836"/>
        <w:ind w:firstLine="709"/>
        <w:jc w:val="center"/>
        <w:spacing w:line="240" w:lineRule="auto"/>
        <w:rPr>
          <w:b/>
          <w:bCs/>
          <w:sz w:val="26"/>
          <w:szCs w:val="26"/>
        </w:rPr>
        <w:outlineLvl w:val="1"/>
      </w:pPr>
      <w:r>
        <w:rPr>
          <w:b/>
          <w:bCs/>
          <w:sz w:val="26"/>
          <w:szCs w:val="26"/>
        </w:rPr>
        <w:t xml:space="preserve">Раздел 4. Показатели результативности и эффективности программы проф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z w:val="26"/>
          <w:szCs w:val="26"/>
        </w:rPr>
        <w:t xml:space="preserve">лактики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6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критериями оценки эффективности и результативности проф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лактич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ских мероприятий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результативность деятельности Министерства;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информированность контролируемых лиц об обязательных требованиях, о принятых и готовящихся изменениях в системе обязательных требований, о поря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ке проведения контрольных (надзорных) мероприятий, правах контролируемых лиц в х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де контрольных (надзорных) мероприятий;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понятность обязательных требований контролируемым лицам;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вовлечение контролируемых лиц во взаимодействие с Министерством, в том числе в рамках проводимых профилактических мероприятий.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и результативности профилактических мероприятий осуществляется в ходе анализа выполнения мероприятий Программы профилакт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ки по сл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дующим индикативным показателям: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проведенных профилактических мероприятий,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количество докладов по профилактике нарушений обязательных требов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ний, ра</w:t>
      </w: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мещенных на официальном сайте Министерства в сети «Интернет»,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контролируемых лиц, в отношении которых проведены проф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лактич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ские мероприятия,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наличие на официальном сайте Министерства в сети «Интернет» актуал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ного п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речня актов, содержащих обязательные требования, соблюдение которых оцен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вается при проведении мероприятий по контролю;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консультаций, оказанных контролируемым лицам по вопросам соблюдения обязательных требований, содержащихся в нормативных правовых 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тах,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количество обобщений практики осуществления регионального госуда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ственного контроля (надзора), размещенных на официальном сайте Министерства в сети «Интернет», ед.;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денной Министе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ством.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эффективности и результативности профилактических мероприятий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Полнота информации, размещенной на официал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ном сайте Министерства в сети «Интернет» в с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ответствии с частью 3 статьи 46 Федерального з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100 %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Удовлетворенность контролируемых лиц и их пре</w:t>
            </w:r>
            <w:r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ставителей доступностью на официальном сайте М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нистерства в сети «Интернет» информации о прин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тых и готовящихся изменениях обязательных треб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80 %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3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профилактических мер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приятий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20 меропр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ятий, проведе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ных контрольным (надзорным) орг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ном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6"/>
        <w:contextualSpacing/>
        <w:ind w:right="321" w:firstLine="709"/>
        <w:spacing w:line="240" w:lineRule="auto"/>
        <w:shd w:val="clear" w:color="auto" w:fill="ffffff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contextualSpacing/>
        <w:ind w:firstLine="709"/>
        <w:spacing w:line="240" w:lineRule="auto"/>
        <w:shd w:val="clear" w:color="auto" w:fill="ffffff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эффективности реализации программы рассчитывается ежегодно (по итогам календарного года) по результатам анализа характеристик достижения зн</w:t>
      </w:r>
      <w:r>
        <w:rPr>
          <w:rFonts w:eastAsia="Calibri"/>
          <w:sz w:val="26"/>
          <w:szCs w:val="26"/>
        </w:rPr>
        <w:t xml:space="preserve">а</w:t>
      </w:r>
      <w:r>
        <w:rPr>
          <w:rFonts w:eastAsia="Calibri"/>
          <w:sz w:val="26"/>
          <w:szCs w:val="26"/>
        </w:rPr>
        <w:t xml:space="preserve">чений ц</w:t>
      </w:r>
      <w:r>
        <w:rPr>
          <w:rFonts w:eastAsia="Calibri"/>
          <w:sz w:val="26"/>
          <w:szCs w:val="26"/>
        </w:rPr>
        <w:t xml:space="preserve">е</w:t>
      </w:r>
      <w:r>
        <w:rPr>
          <w:rFonts w:eastAsia="Calibri"/>
          <w:sz w:val="26"/>
          <w:szCs w:val="26"/>
        </w:rPr>
        <w:t xml:space="preserve">левых показателей реализации программы.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contextualSpacing/>
        <w:ind w:firstLine="709"/>
        <w:spacing w:line="240" w:lineRule="auto"/>
        <w:shd w:val="clear" w:color="auto" w:fill="ffffff"/>
        <w:tabs>
          <w:tab w:val="left" w:pos="9356" w:leader="none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Отклонение фактического значения одного из показателей от целевого зн</w:t>
      </w:r>
      <w:r>
        <w:rPr>
          <w:rFonts w:eastAsia="Calibri"/>
          <w:sz w:val="26"/>
          <w:szCs w:val="26"/>
        </w:rPr>
        <w:t xml:space="preserve">а</w:t>
      </w:r>
      <w:r>
        <w:rPr>
          <w:rFonts w:eastAsia="Calibri"/>
          <w:sz w:val="26"/>
          <w:szCs w:val="26"/>
        </w:rPr>
        <w:t xml:space="preserve">чения более чем на 20 % в сторону уменьшения, свидетельствует о низкой эффе</w:t>
      </w:r>
      <w:r>
        <w:rPr>
          <w:rFonts w:eastAsia="Calibri"/>
          <w:sz w:val="26"/>
          <w:szCs w:val="26"/>
        </w:rPr>
        <w:t xml:space="preserve">к</w:t>
      </w:r>
      <w:r>
        <w:rPr>
          <w:rFonts w:eastAsia="Calibri"/>
          <w:sz w:val="26"/>
          <w:szCs w:val="26"/>
        </w:rPr>
        <w:t xml:space="preserve">тивности программы профилактики и требует корректировки программы в части изменения интенсивности мероприятий и форм профилактических во</w:t>
      </w:r>
      <w:r>
        <w:rPr>
          <w:rFonts w:eastAsia="Calibri"/>
          <w:sz w:val="26"/>
          <w:szCs w:val="26"/>
        </w:rPr>
        <w:t xml:space="preserve">з</w:t>
      </w:r>
      <w:r>
        <w:rPr>
          <w:rFonts w:eastAsia="Calibri"/>
          <w:sz w:val="26"/>
          <w:szCs w:val="26"/>
        </w:rPr>
        <w:t xml:space="preserve">действий.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6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0" w:h="16800" w:orient="portrait"/>
      <w:pgMar w:top="567" w:right="843" w:bottom="1134" w:left="1701" w:header="15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 New Roman CYR">
    <w:panose1 w:val="02000603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Baltica Chv">
    <w:panose1 w:val="02000603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jc w:val="both"/>
      <w:spacing w:line="360" w:lineRule="atLeast"/>
      <w:widowControl w:val="off"/>
    </w:pPr>
    <w:rPr>
      <w:sz w:val="24"/>
      <w:szCs w:val="24"/>
      <w:lang w:val="ru-RU" w:eastAsia="ru-RU" w:bidi="ar-SA"/>
    </w:rPr>
  </w:style>
  <w:style w:type="paragraph" w:styleId="837">
    <w:name w:val="Заголовок 1"/>
    <w:basedOn w:val="836"/>
    <w:next w:val="837"/>
    <w:link w:val="836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838">
    <w:name w:val="Основной шрифт абзаца"/>
    <w:next w:val="838"/>
    <w:link w:val="836"/>
    <w:semiHidden/>
  </w:style>
  <w:style w:type="table" w:styleId="839">
    <w:name w:val="Обычная таблица"/>
    <w:next w:val="839"/>
    <w:link w:val="836"/>
    <w:semiHidden/>
    <w:tblPr/>
  </w:style>
  <w:style w:type="numbering" w:styleId="840">
    <w:name w:val="Нет списка"/>
    <w:next w:val="840"/>
    <w:link w:val="836"/>
    <w:semiHidden/>
  </w:style>
  <w:style w:type="table" w:styleId="841">
    <w:name w:val="Сетка таблицы"/>
    <w:basedOn w:val="839"/>
    <w:next w:val="841"/>
    <w:link w:val="836"/>
    <w:uiPriority w:val="59"/>
    <w:pPr>
      <w:jc w:val="both"/>
      <w:spacing w:line="360" w:lineRule="atLeast"/>
      <w:widowControl w:val="off"/>
    </w:pPr>
    <w:tblPr/>
  </w:style>
  <w:style w:type="paragraph" w:styleId="842">
    <w:name w:val="ConsNonformat"/>
    <w:next w:val="842"/>
    <w:link w:val="836"/>
    <w:pPr>
      <w:ind w:right="19772"/>
      <w:widowControl w:val="off"/>
    </w:pPr>
    <w:rPr>
      <w:rFonts w:ascii="Courier New" w:hAnsi="Courier New" w:cs="Courier New"/>
      <w:sz w:val="28"/>
      <w:szCs w:val="28"/>
      <w:lang w:val="ru-RU" w:eastAsia="ru-RU" w:bidi="ar-SA"/>
    </w:rPr>
  </w:style>
  <w:style w:type="paragraph" w:styleId="843">
    <w:name w:val="Основной текст"/>
    <w:basedOn w:val="836"/>
    <w:next w:val="843"/>
    <w:link w:val="845"/>
    <w:pPr>
      <w:jc w:val="center"/>
      <w:spacing w:line="240" w:lineRule="auto"/>
      <w:widowControl/>
    </w:pPr>
    <w:rPr>
      <w:rFonts w:ascii="Baltica Chv" w:hAnsi="Baltica Chv"/>
      <w:sz w:val="18"/>
    </w:rPr>
  </w:style>
  <w:style w:type="paragraph" w:styleId="844">
    <w:name w:val="Текст выноски"/>
    <w:basedOn w:val="836"/>
    <w:next w:val="844"/>
    <w:link w:val="836"/>
    <w:semiHidden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43"/>
    <w:rPr>
      <w:rFonts w:ascii="Baltica Chv" w:hAnsi="Baltica Chv"/>
      <w:sz w:val="18"/>
      <w:szCs w:val="24"/>
    </w:rPr>
  </w:style>
  <w:style w:type="paragraph" w:styleId="846">
    <w:name w:val="Верхний колонтитул"/>
    <w:basedOn w:val="836"/>
    <w:next w:val="846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>
    <w:name w:val="Верхний колонтитул Знак"/>
    <w:next w:val="847"/>
    <w:link w:val="846"/>
    <w:uiPriority w:val="99"/>
    <w:rPr>
      <w:sz w:val="24"/>
      <w:szCs w:val="24"/>
    </w:rPr>
  </w:style>
  <w:style w:type="paragraph" w:styleId="848">
    <w:name w:val="Нижний колонтитул"/>
    <w:basedOn w:val="836"/>
    <w:next w:val="848"/>
    <w:link w:val="849"/>
    <w:pPr>
      <w:tabs>
        <w:tab w:val="center" w:pos="4677" w:leader="none"/>
        <w:tab w:val="right" w:pos="9355" w:leader="none"/>
      </w:tabs>
    </w:pPr>
  </w:style>
  <w:style w:type="character" w:styleId="849">
    <w:name w:val="Нижний колонтитул Знак"/>
    <w:next w:val="849"/>
    <w:link w:val="848"/>
    <w:rPr>
      <w:sz w:val="24"/>
      <w:szCs w:val="24"/>
    </w:rPr>
  </w:style>
  <w:style w:type="character" w:styleId="850">
    <w:name w:val="Основной текст (2)_"/>
    <w:next w:val="850"/>
    <w:link w:val="836"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851">
    <w:name w:val="Основной текст (2) + Интервал 3 pt"/>
    <w:next w:val="851"/>
    <w:link w:val="836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 w:eastAsia="ru-RU" w:bidi="ru-RU"/>
    </w:rPr>
  </w:style>
  <w:style w:type="character" w:styleId="852">
    <w:name w:val="Основной текст (2)"/>
    <w:next w:val="852"/>
    <w:link w:val="836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853">
    <w:name w:val="ConsPlusNonformat"/>
    <w:next w:val="853"/>
    <w:link w:val="83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4">
    <w:name w:val="Без интервала"/>
    <w:next w:val="854"/>
    <w:link w:val="855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855">
    <w:name w:val="Без интервала Знак"/>
    <w:next w:val="855"/>
    <w:link w:val="854"/>
    <w:uiPriority w:val="1"/>
    <w:rPr>
      <w:rFonts w:ascii="Calibri" w:hAnsi="Calibri"/>
      <w:sz w:val="22"/>
      <w:szCs w:val="22"/>
    </w:rPr>
  </w:style>
  <w:style w:type="character" w:styleId="856">
    <w:name w:val="Гипертекстовая ссылка"/>
    <w:next w:val="856"/>
    <w:link w:val="836"/>
    <w:uiPriority w:val="99"/>
    <w:rPr>
      <w:rFonts w:cs="Times New Roman"/>
      <w:color w:val="106bbe"/>
    </w:rPr>
  </w:style>
  <w:style w:type="character" w:styleId="857">
    <w:name w:val="Цветовое выделение"/>
    <w:next w:val="857"/>
    <w:link w:val="836"/>
    <w:uiPriority w:val="99"/>
    <w:rPr>
      <w:b/>
      <w:color w:val="26282f"/>
    </w:rPr>
  </w:style>
  <w:style w:type="paragraph" w:styleId="858">
    <w:name w:val="Нормальный (таблица)"/>
    <w:basedOn w:val="836"/>
    <w:next w:val="836"/>
    <w:link w:val="836"/>
    <w:uiPriority w:val="99"/>
    <w:pPr>
      <w:spacing w:line="240" w:lineRule="auto"/>
    </w:pPr>
    <w:rPr>
      <w:rFonts w:ascii="Times New Roman CYR" w:hAnsi="Times New Roman CYR" w:eastAsia="Times New Roman" w:cs="Times New Roman CYR"/>
    </w:rPr>
  </w:style>
  <w:style w:type="paragraph" w:styleId="859">
    <w:name w:val="Таблицы (моноширинный)"/>
    <w:basedOn w:val="836"/>
    <w:next w:val="836"/>
    <w:link w:val="836"/>
    <w:uiPriority w:val="99"/>
    <w:pPr>
      <w:jc w:val="left"/>
      <w:spacing w:line="240" w:lineRule="auto"/>
    </w:pPr>
    <w:rPr>
      <w:rFonts w:ascii="Courier New" w:hAnsi="Courier New" w:eastAsia="Times New Roman" w:cs="Courier New"/>
    </w:rPr>
  </w:style>
  <w:style w:type="paragraph" w:styleId="860">
    <w:name w:val="Основной текст 2"/>
    <w:basedOn w:val="836"/>
    <w:next w:val="860"/>
    <w:link w:val="861"/>
    <w:pPr>
      <w:spacing w:after="120" w:line="480" w:lineRule="auto"/>
    </w:pPr>
  </w:style>
  <w:style w:type="character" w:styleId="861">
    <w:name w:val="Основной текст 2 Знак"/>
    <w:next w:val="861"/>
    <w:link w:val="860"/>
    <w:rPr>
      <w:sz w:val="24"/>
      <w:szCs w:val="24"/>
    </w:rPr>
  </w:style>
  <w:style w:type="paragraph" w:styleId="862">
    <w:name w:val="ConsPlusNormal"/>
    <w:next w:val="862"/>
    <w:link w:val="865"/>
    <w:pPr>
      <w:ind w:firstLine="720"/>
    </w:pPr>
    <w:rPr>
      <w:rFonts w:ascii="Arial" w:hAnsi="Arial" w:cs="Arial"/>
      <w:lang w:val="ru-RU" w:eastAsia="ru-RU" w:bidi="ar-SA"/>
    </w:rPr>
  </w:style>
  <w:style w:type="paragraph" w:styleId="863">
    <w:name w:val="Обычный (веб)"/>
    <w:basedOn w:val="836"/>
    <w:next w:val="863"/>
    <w:link w:val="836"/>
    <w:uiPriority w:val="99"/>
    <w:unhideWhenUsed/>
    <w:pPr>
      <w:jc w:val="left"/>
      <w:spacing w:before="100" w:beforeAutospacing="1" w:after="100" w:afterAutospacing="1" w:line="240" w:lineRule="auto"/>
      <w:widowControl/>
    </w:pPr>
  </w:style>
  <w:style w:type="character" w:styleId="864">
    <w:name w:val="Основной текст (2) + 12 pt1"/>
    <w:next w:val="864"/>
    <w:link w:val="836"/>
    <w:uiPriority w:val="99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styleId="865">
    <w:name w:val="ConsPlusNormal Знак"/>
    <w:next w:val="865"/>
    <w:link w:val="862"/>
    <w:rPr>
      <w:rFonts w:ascii="Arial" w:hAnsi="Arial" w:cs="Arial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culture83</dc:creator>
  <cp:revision>12</cp:revision>
  <dcterms:created xsi:type="dcterms:W3CDTF">2023-10-02T05:34:00Z</dcterms:created>
  <dcterms:modified xsi:type="dcterms:W3CDTF">2024-11-28T06:14:39Z</dcterms:modified>
  <cp:version>917504</cp:version>
</cp:coreProperties>
</file>