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47646" w14:textId="77777777" w:rsidR="00FC3AF2" w:rsidRPr="00FC3AF2" w:rsidRDefault="00FC3AF2" w:rsidP="00DA3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АНАЛИТИЧЕСКАЯ ЗАПИСКА</w:t>
      </w:r>
    </w:p>
    <w:p w14:paraId="7189FB59" w14:textId="77777777" w:rsidR="00FC3AF2" w:rsidRPr="00FC3AF2" w:rsidRDefault="00FC3AF2" w:rsidP="00DA3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проведения ежегодной оценки всех видов преференций</w:t>
      </w:r>
    </w:p>
    <w:p w14:paraId="218993A5" w14:textId="7812FA7C" w:rsidR="00FC3AF2" w:rsidRPr="00FC3AF2" w:rsidRDefault="00FC3AF2" w:rsidP="00DA3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юридическим лицам (льготы, субвенции, компенсация процентных ставок по кредитам, гарантий)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и финансового результата для местного бюджета.</w:t>
      </w:r>
    </w:p>
    <w:p w14:paraId="35F1E115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B54A8B0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9D83B69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    Основными целями предоставления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  являются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>:</w:t>
      </w:r>
    </w:p>
    <w:p w14:paraId="176BEBF6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обеспечение экономической заинтересованности организаций и физических лиц в расширении приоритетных видов хозяйственной деятельности;</w:t>
      </w:r>
    </w:p>
    <w:p w14:paraId="2247F46A" w14:textId="0C7BBCEF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- стимулирование использования финансовых ресурсов, направляемых на создание, расширение и обновление производств и технологий по выпуску необходимой </w:t>
      </w:r>
      <w:r w:rsidR="00923492">
        <w:rPr>
          <w:rFonts w:ascii="Times New Roman" w:hAnsi="Times New Roman" w:cs="Times New Roman"/>
          <w:sz w:val="24"/>
          <w:szCs w:val="24"/>
        </w:rPr>
        <w:t>округу</w:t>
      </w:r>
      <w:r w:rsidRPr="00FC3AF2">
        <w:rPr>
          <w:rFonts w:ascii="Times New Roman" w:hAnsi="Times New Roman" w:cs="Times New Roman"/>
          <w:sz w:val="24"/>
          <w:szCs w:val="24"/>
        </w:rPr>
        <w:t xml:space="preserve"> продукции (товаров, услуг);</w:t>
      </w:r>
    </w:p>
    <w:p w14:paraId="3D785B41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14:paraId="4D5190CC" w14:textId="48ECBA48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- создание необходимых экономических условий для развития инвестиционной деятельности в </w:t>
      </w:r>
      <w:r w:rsidR="00923492">
        <w:rPr>
          <w:rFonts w:ascii="Times New Roman" w:hAnsi="Times New Roman" w:cs="Times New Roman"/>
          <w:sz w:val="24"/>
          <w:szCs w:val="24"/>
        </w:rPr>
        <w:t>округе</w:t>
      </w:r>
      <w:r w:rsidRPr="00FC3AF2">
        <w:rPr>
          <w:rFonts w:ascii="Times New Roman" w:hAnsi="Times New Roman" w:cs="Times New Roman"/>
          <w:sz w:val="24"/>
          <w:szCs w:val="24"/>
        </w:rPr>
        <w:t>;</w:t>
      </w:r>
    </w:p>
    <w:p w14:paraId="4D2CC730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оказание экономической поддержки организациям в решении приоритетных социальных задач;</w:t>
      </w:r>
    </w:p>
    <w:p w14:paraId="49E2578D" w14:textId="4372FA91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- развитие налогооблагаемой базы в </w:t>
      </w:r>
      <w:r w:rsidR="00923492">
        <w:rPr>
          <w:rFonts w:ascii="Times New Roman" w:hAnsi="Times New Roman" w:cs="Times New Roman"/>
          <w:sz w:val="24"/>
          <w:szCs w:val="24"/>
        </w:rPr>
        <w:t>округе</w:t>
      </w:r>
      <w:r w:rsidRPr="00FC3AF2">
        <w:rPr>
          <w:rFonts w:ascii="Times New Roman" w:hAnsi="Times New Roman" w:cs="Times New Roman"/>
          <w:sz w:val="24"/>
          <w:szCs w:val="24"/>
        </w:rPr>
        <w:t>;</w:t>
      </w:r>
    </w:p>
    <w:p w14:paraId="0B459145" w14:textId="750538B1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- прирост платежей в бюджет </w:t>
      </w:r>
      <w:r w:rsidR="00923492">
        <w:rPr>
          <w:rFonts w:ascii="Times New Roman" w:hAnsi="Times New Roman" w:cs="Times New Roman"/>
          <w:sz w:val="24"/>
          <w:szCs w:val="24"/>
        </w:rPr>
        <w:t>округа</w:t>
      </w:r>
      <w:r w:rsidRPr="00FC3AF2">
        <w:rPr>
          <w:rFonts w:ascii="Times New Roman" w:hAnsi="Times New Roman" w:cs="Times New Roman"/>
          <w:sz w:val="24"/>
          <w:szCs w:val="24"/>
        </w:rPr>
        <w:t>;</w:t>
      </w:r>
    </w:p>
    <w:p w14:paraId="06E2BDC4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оказание поддержки социально незащищенным категориям граждан.</w:t>
      </w:r>
    </w:p>
    <w:p w14:paraId="4396B66F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    Установление налоговых льгот и льгот по неналоговым доходам  осуществляется с соблюдением следующих основных принципов:</w:t>
      </w:r>
    </w:p>
    <w:p w14:paraId="07E19CF0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налоговые льготы и льготы по неналоговым доходам  устанавливаются на срок не менее одного налогового периода по соответствующему платежу;</w:t>
      </w:r>
    </w:p>
    <w:p w14:paraId="754E6A24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налоговые льготы и льготы по неналоговым доходам  устанавливаются только категориям налогоплательщиков и не носят индивидуального характера;</w:t>
      </w:r>
    </w:p>
    <w:p w14:paraId="5C4AE7CE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не допускать установления налоговых льгот и льгот по неналоговым доходам  в зависимости от формы собственности, гражданства физических лиц или места происхождения капитала.</w:t>
      </w:r>
    </w:p>
    <w:p w14:paraId="40ABA613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 Оценка предоставления (пролонгации)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осуществляется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в отношении:</w:t>
      </w:r>
    </w:p>
    <w:p w14:paraId="140EF162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налоговых льгот и льгот по неналоговым доходам  организациям, финансируемым не из местного бюджета, в зависимости от целей предоставления – на наличие бюджетной и экономической эффективности или экономической и социальной эффективности;</w:t>
      </w:r>
    </w:p>
    <w:p w14:paraId="1C4F0536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  Оценка эффективности предоставляемых (планируемых к предоставлению) налоговых льгот и льгот по неналоговым доходам  осуществляется по следующим критериям:</w:t>
      </w:r>
    </w:p>
    <w:p w14:paraId="1E879C78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 1) бюджетная эффективность.</w:t>
      </w:r>
    </w:p>
    <w:p w14:paraId="538A75BE" w14:textId="5AC8017D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 Налоговая льгота и льготы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имеют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бюджетную эффективность, если сумма дисконтированного прироста полученных  (планируемых к получению) поступлений в бюджет </w:t>
      </w:r>
      <w:r w:rsidR="00923492">
        <w:rPr>
          <w:rFonts w:ascii="Times New Roman" w:hAnsi="Times New Roman" w:cs="Times New Roman"/>
          <w:sz w:val="24"/>
          <w:szCs w:val="24"/>
        </w:rPr>
        <w:t>округа</w:t>
      </w:r>
      <w:r w:rsidRPr="00FC3AF2">
        <w:rPr>
          <w:rFonts w:ascii="Times New Roman" w:hAnsi="Times New Roman" w:cs="Times New Roman"/>
          <w:sz w:val="24"/>
          <w:szCs w:val="24"/>
        </w:rPr>
        <w:t>, в результате предоставления налоговых льгот и льгот по неналоговым доходам, превышает или равна сумме предоставляемых (планируемых к предоставлению) налоговых льгот и льгот по неналоговым доходам. Коэффициент дисконтирования применяется в размере индекса потребительских цен;</w:t>
      </w:r>
    </w:p>
    <w:p w14:paraId="01D3E52D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 2) экономическая эффективность.</w:t>
      </w:r>
    </w:p>
    <w:p w14:paraId="390B9915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 Оценка экономической эффективности предоставляемых (планируемых к предоставлению) налоговых льгот и льгот по неналоговым доходам  осуществляется на основании динамики финансово-экономических показателей деятельности категории налогоплательщиков согласно перечню, утвержденному в порядке и методике оценки эффективности предоставляемых (планируемых к предоставлению) налоговых льгот и льгот по неналоговым доходам.</w:t>
      </w:r>
    </w:p>
    <w:p w14:paraId="0CFC9B24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   Налоговые льготы и льготы по неналоговым доходам  имеют экономическую эффективность, если 70 процентов финансово-экономических показателей деятельности категории плательщиков согласно перечню, утвержденному в порядке и методике оценки эффективности предоставляемых (планируемых к предоставлению) налоговых льгот и льгот по неналоговым доходам, имеют положительную динамику.</w:t>
      </w:r>
    </w:p>
    <w:p w14:paraId="51D87CC2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  Динамика является положительной, если:</w:t>
      </w:r>
    </w:p>
    <w:p w14:paraId="7936FFA8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   темп роста финансово-экономических показателей деятельности категории налогоплательщиков в результате предоставления налоговых льгот и льгот по неналоговым доходам  больше темпа роста финансово-экономических показателей деятельности категории плательщиков без применения  льгот;</w:t>
      </w:r>
    </w:p>
    <w:p w14:paraId="4DFAC06C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   темп падения финансово-экономических показателей деятельности категории плательщиков в результате предоставления налоговых льгот и льгот по неналоговым доходам  меньше темпа падения финансово-экономических показателей деятельности категории плательщиков без применения налоговой льготы и льгот по неналоговым доходам;</w:t>
      </w:r>
    </w:p>
    <w:p w14:paraId="27B4DAC2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   3) социальная эффективность.</w:t>
      </w:r>
    </w:p>
    <w:p w14:paraId="6039110D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       Налоговые льготы и льготы по неналоговым доходам  организациям признаются социально эффективными при увеличении числа рабочих мест, созданных для социально незащищенных категорий граждан.</w:t>
      </w:r>
    </w:p>
    <w:p w14:paraId="085011FE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Эффективность предоставления (пролонгации)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рассчитывается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по каждому налогу и неналоговым доходам в разрезе подразделов кодов основного вида экономической деятельности налогоплательщика, согласно Общероссийскому классификатору видов экономической деятельности.</w:t>
      </w:r>
    </w:p>
    <w:p w14:paraId="02CEF0D4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 При наличии сведений о суммах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по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 эффективность налоговых льгот и льгот по неналоговым доходам  рассчитывается по каждой категории плательщиков.</w:t>
      </w:r>
    </w:p>
    <w:p w14:paraId="57F9A74B" w14:textId="70DD3BCB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  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3492">
        <w:rPr>
          <w:rFonts w:ascii="Times New Roman" w:hAnsi="Times New Roman" w:cs="Times New Roman"/>
          <w:sz w:val="24"/>
          <w:szCs w:val="24"/>
        </w:rPr>
        <w:t>3</w:t>
      </w:r>
      <w:r w:rsidRPr="00FC3AF2">
        <w:rPr>
          <w:rFonts w:ascii="Times New Roman" w:hAnsi="Times New Roman" w:cs="Times New Roman"/>
          <w:sz w:val="24"/>
          <w:szCs w:val="24"/>
        </w:rPr>
        <w:t xml:space="preserve"> году льготы, субсидии, преференции юридическим лицам не предоставлялись.</w:t>
      </w:r>
    </w:p>
    <w:p w14:paraId="1BC85B0A" w14:textId="77777777" w:rsidR="00174807" w:rsidRPr="00FC3AF2" w:rsidRDefault="00174807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807" w:rsidRPr="00FC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F2"/>
    <w:rsid w:val="00174807"/>
    <w:rsid w:val="00657410"/>
    <w:rsid w:val="00923492"/>
    <w:rsid w:val="00A54F26"/>
    <w:rsid w:val="00DA3BE8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D9A2"/>
  <w15:chartTrackingRefBased/>
  <w15:docId w15:val="{BE8161CC-F03D-4506-BAF8-81810554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Хлебникова</dc:creator>
  <cp:keywords/>
  <dc:description/>
  <cp:lastModifiedBy>Наталия Хлебникова</cp:lastModifiedBy>
  <cp:revision>3</cp:revision>
  <dcterms:created xsi:type="dcterms:W3CDTF">2023-04-07T10:31:00Z</dcterms:created>
  <dcterms:modified xsi:type="dcterms:W3CDTF">2024-03-29T07:27:00Z</dcterms:modified>
</cp:coreProperties>
</file>