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47646" w14:textId="77777777" w:rsidR="00FC3AF2" w:rsidRPr="00FC3AF2" w:rsidRDefault="00FC3AF2" w:rsidP="00DA3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AF2">
        <w:rPr>
          <w:rStyle w:val="a4"/>
          <w:rFonts w:ascii="Times New Roman" w:hAnsi="Times New Roman" w:cs="Times New Roman"/>
          <w:color w:val="000000"/>
          <w:sz w:val="24"/>
          <w:szCs w:val="24"/>
        </w:rPr>
        <w:t>АНАЛИТИЧЕСКАЯ ЗАПИСКА</w:t>
      </w:r>
    </w:p>
    <w:p w14:paraId="7189FB59" w14:textId="77777777" w:rsidR="00FC3AF2" w:rsidRPr="00FC3AF2" w:rsidRDefault="00FC3AF2" w:rsidP="00DA3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AF2">
        <w:rPr>
          <w:rStyle w:val="a4"/>
          <w:rFonts w:ascii="Times New Roman" w:hAnsi="Times New Roman" w:cs="Times New Roman"/>
          <w:color w:val="000000"/>
          <w:sz w:val="24"/>
          <w:szCs w:val="24"/>
        </w:rPr>
        <w:t>проведения ежегодной оценки всех видов преференций</w:t>
      </w:r>
    </w:p>
    <w:p w14:paraId="218993A5" w14:textId="7812FA7C" w:rsidR="00FC3AF2" w:rsidRPr="00FC3AF2" w:rsidRDefault="00FC3AF2" w:rsidP="00DA3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AF2">
        <w:rPr>
          <w:rStyle w:val="a4"/>
          <w:rFonts w:ascii="Times New Roman" w:hAnsi="Times New Roman" w:cs="Times New Roman"/>
          <w:color w:val="000000"/>
          <w:sz w:val="24"/>
          <w:szCs w:val="24"/>
        </w:rPr>
        <w:t>юридическим лицам (льготы, субвенции, компенсация процентных ставок по кредитам, гарантий)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3AF2">
        <w:rPr>
          <w:rStyle w:val="a4"/>
          <w:rFonts w:ascii="Times New Roman" w:hAnsi="Times New Roman" w:cs="Times New Roman"/>
          <w:color w:val="000000"/>
          <w:sz w:val="24"/>
          <w:szCs w:val="24"/>
        </w:rPr>
        <w:t>и финансового результата для местного бюджета.</w:t>
      </w:r>
    </w:p>
    <w:p w14:paraId="35F1E115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Style w:val="a4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B54A8B0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Style w:val="a4"/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9D83B69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       Основными целями предоставления налоговых льгот и льгот по неналоговым </w:t>
      </w:r>
      <w:proofErr w:type="gramStart"/>
      <w:r w:rsidRPr="00FC3AF2">
        <w:rPr>
          <w:rFonts w:ascii="Times New Roman" w:hAnsi="Times New Roman" w:cs="Times New Roman"/>
          <w:sz w:val="24"/>
          <w:szCs w:val="24"/>
        </w:rPr>
        <w:t>доходам  являются</w:t>
      </w:r>
      <w:proofErr w:type="gramEnd"/>
      <w:r w:rsidRPr="00FC3AF2">
        <w:rPr>
          <w:rFonts w:ascii="Times New Roman" w:hAnsi="Times New Roman" w:cs="Times New Roman"/>
          <w:sz w:val="24"/>
          <w:szCs w:val="24"/>
        </w:rPr>
        <w:t>:</w:t>
      </w:r>
    </w:p>
    <w:p w14:paraId="176BEBF6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обеспечение экономической заинтересованности организаций и физических лиц в расширении приоритетных видов хозяйственной деятельности;</w:t>
      </w:r>
    </w:p>
    <w:p w14:paraId="2247F46A" w14:textId="0C7BBCEF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- стимулирование использования финансовых ресурсов, направляемых на создание, расширение и обновление производств и технологий по выпуску необходимой </w:t>
      </w:r>
      <w:r w:rsidR="00923492">
        <w:rPr>
          <w:rFonts w:ascii="Times New Roman" w:hAnsi="Times New Roman" w:cs="Times New Roman"/>
          <w:sz w:val="24"/>
          <w:szCs w:val="24"/>
        </w:rPr>
        <w:t>округу</w:t>
      </w:r>
      <w:r w:rsidRPr="00FC3AF2">
        <w:rPr>
          <w:rFonts w:ascii="Times New Roman" w:hAnsi="Times New Roman" w:cs="Times New Roman"/>
          <w:sz w:val="24"/>
          <w:szCs w:val="24"/>
        </w:rPr>
        <w:t xml:space="preserve"> продукции (товаров, услуг);</w:t>
      </w:r>
    </w:p>
    <w:p w14:paraId="3D785B41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создание благоприятных экономических условий для деятельности организаций, применяющих труд социально незащищенных категорий граждан;</w:t>
      </w:r>
    </w:p>
    <w:p w14:paraId="4D5190CC" w14:textId="48ECBA48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- создание необходимых экономических условий для развития инвестиционной деятельности в </w:t>
      </w:r>
      <w:r w:rsidR="00923492">
        <w:rPr>
          <w:rFonts w:ascii="Times New Roman" w:hAnsi="Times New Roman" w:cs="Times New Roman"/>
          <w:sz w:val="24"/>
          <w:szCs w:val="24"/>
        </w:rPr>
        <w:t>округе</w:t>
      </w:r>
      <w:r w:rsidRPr="00FC3AF2">
        <w:rPr>
          <w:rFonts w:ascii="Times New Roman" w:hAnsi="Times New Roman" w:cs="Times New Roman"/>
          <w:sz w:val="24"/>
          <w:szCs w:val="24"/>
        </w:rPr>
        <w:t>;</w:t>
      </w:r>
    </w:p>
    <w:p w14:paraId="4D2CC730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оказание экономической поддержки организациям в решении приоритетных социальных задач;</w:t>
      </w:r>
    </w:p>
    <w:p w14:paraId="49E2578D" w14:textId="4372FA91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- развитие налогооблагаемой базы в </w:t>
      </w:r>
      <w:r w:rsidR="00923492">
        <w:rPr>
          <w:rFonts w:ascii="Times New Roman" w:hAnsi="Times New Roman" w:cs="Times New Roman"/>
          <w:sz w:val="24"/>
          <w:szCs w:val="24"/>
        </w:rPr>
        <w:t>округе</w:t>
      </w:r>
      <w:r w:rsidRPr="00FC3AF2">
        <w:rPr>
          <w:rFonts w:ascii="Times New Roman" w:hAnsi="Times New Roman" w:cs="Times New Roman"/>
          <w:sz w:val="24"/>
          <w:szCs w:val="24"/>
        </w:rPr>
        <w:t>;</w:t>
      </w:r>
    </w:p>
    <w:p w14:paraId="0B459145" w14:textId="750538B1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- прирост платежей в бюджет </w:t>
      </w:r>
      <w:r w:rsidR="00923492">
        <w:rPr>
          <w:rFonts w:ascii="Times New Roman" w:hAnsi="Times New Roman" w:cs="Times New Roman"/>
          <w:sz w:val="24"/>
          <w:szCs w:val="24"/>
        </w:rPr>
        <w:t>округа</w:t>
      </w:r>
      <w:r w:rsidRPr="00FC3AF2">
        <w:rPr>
          <w:rFonts w:ascii="Times New Roman" w:hAnsi="Times New Roman" w:cs="Times New Roman"/>
          <w:sz w:val="24"/>
          <w:szCs w:val="24"/>
        </w:rPr>
        <w:t>;</w:t>
      </w:r>
    </w:p>
    <w:p w14:paraId="06E2BDC4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оказание поддержки социально незащищенным категориям граждан.</w:t>
      </w:r>
    </w:p>
    <w:p w14:paraId="4396B66F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  Установление налоговых льгот и льгот по неналоговым доходам  осуществляется с соблюдением следующих основных принципов:</w:t>
      </w:r>
    </w:p>
    <w:p w14:paraId="07E19CF0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налоговые льготы и льготы по неналоговым доходам  устанавливаются на срок не менее одного налогового периода по соответствующему платежу;</w:t>
      </w:r>
    </w:p>
    <w:p w14:paraId="754E6A24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налоговые льготы и льготы по неналоговым доходам  устанавливаются только категориям налогоплательщиков и не носят индивидуального характера;</w:t>
      </w:r>
    </w:p>
    <w:p w14:paraId="5C4AE7CE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не допускать установления налоговых льгот и льгот по неналоговым доходам  в зависимости от формы собственности, гражданства физических лиц или места происхождения капитала.</w:t>
      </w:r>
    </w:p>
    <w:p w14:paraId="40ABA613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    Оценка предоставления (пролонгации) налоговых льгот и льгот по неналоговым </w:t>
      </w:r>
      <w:proofErr w:type="gramStart"/>
      <w:r w:rsidRPr="00FC3AF2">
        <w:rPr>
          <w:rFonts w:ascii="Times New Roman" w:hAnsi="Times New Roman" w:cs="Times New Roman"/>
          <w:sz w:val="24"/>
          <w:szCs w:val="24"/>
        </w:rPr>
        <w:t>доходам  осуществляется</w:t>
      </w:r>
      <w:proofErr w:type="gramEnd"/>
      <w:r w:rsidRPr="00FC3AF2">
        <w:rPr>
          <w:rFonts w:ascii="Times New Roman" w:hAnsi="Times New Roman" w:cs="Times New Roman"/>
          <w:sz w:val="24"/>
          <w:szCs w:val="24"/>
        </w:rPr>
        <w:t xml:space="preserve"> в отношении:</w:t>
      </w:r>
    </w:p>
    <w:p w14:paraId="140EF162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- налоговых льгот и льгот по неналоговым доходам  организациям, финансируемым не из местного бюджета, в зависимости от целей предоставления – на наличие бюджетной и экономической эффективности или экономической и социальной эффективности;</w:t>
      </w:r>
    </w:p>
    <w:p w14:paraId="1C4F0536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  Оценка эффективности предоставляемых (планируемых к предоставлению) налоговых льгот и льгот по неналоговым доходам  осуществляется по следующим критериям:</w:t>
      </w:r>
    </w:p>
    <w:p w14:paraId="1E879C78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 1) бюджетная эффективность.</w:t>
      </w:r>
    </w:p>
    <w:p w14:paraId="538A75BE" w14:textId="5AC8017D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   Налоговая льгота и льготы по неналоговым </w:t>
      </w:r>
      <w:proofErr w:type="gramStart"/>
      <w:r w:rsidRPr="00FC3AF2">
        <w:rPr>
          <w:rFonts w:ascii="Times New Roman" w:hAnsi="Times New Roman" w:cs="Times New Roman"/>
          <w:sz w:val="24"/>
          <w:szCs w:val="24"/>
        </w:rPr>
        <w:t>доходам  имеют</w:t>
      </w:r>
      <w:proofErr w:type="gramEnd"/>
      <w:r w:rsidRPr="00FC3AF2">
        <w:rPr>
          <w:rFonts w:ascii="Times New Roman" w:hAnsi="Times New Roman" w:cs="Times New Roman"/>
          <w:sz w:val="24"/>
          <w:szCs w:val="24"/>
        </w:rPr>
        <w:t xml:space="preserve"> бюджетную эффективность, если сумма дисконтированного прироста полученных  (планируемых к получению) поступлений в бюджет </w:t>
      </w:r>
      <w:r w:rsidR="00923492">
        <w:rPr>
          <w:rFonts w:ascii="Times New Roman" w:hAnsi="Times New Roman" w:cs="Times New Roman"/>
          <w:sz w:val="24"/>
          <w:szCs w:val="24"/>
        </w:rPr>
        <w:t>округа</w:t>
      </w:r>
      <w:r w:rsidRPr="00FC3AF2">
        <w:rPr>
          <w:rFonts w:ascii="Times New Roman" w:hAnsi="Times New Roman" w:cs="Times New Roman"/>
          <w:sz w:val="24"/>
          <w:szCs w:val="24"/>
        </w:rPr>
        <w:t>, в результате предоставления налоговых льгот и льгот по неналоговым доходам, превышает или равна сумме предоставляемых (планируемых к предоставлению) налоговых льгот и льгот по неналоговым доходам. Коэффициент дисконтирования применяется в размере индекса потребительских цен;</w:t>
      </w:r>
    </w:p>
    <w:p w14:paraId="01D3E52D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 2) экономическая эффективность.</w:t>
      </w:r>
    </w:p>
    <w:p w14:paraId="390B9915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 Оценка экономической эффективности предоставляемых (планируемых к предоставлению) налоговых льгот и льгот по неналоговым доходам  осуществляется на основании динамики финансово-экономических показателей деятельности категории налогоплательщиков согласно перечню, утвержденному в порядке и методике оценки эффективности предоставляемых (планируемых к предоставлению) налоговых льгот и льгот по неналоговым доходам.</w:t>
      </w:r>
    </w:p>
    <w:p w14:paraId="0CFC9B24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 Налоговые льготы и льготы по неналоговым доходам  имеют экономическую эффективность, если 70 процентов финансово-экономических показателей деятельности категории плательщиков согласно перечню, утвержденному в порядке и методике оценки эффективности предоставляемых (планируемых к предоставлению) налоговых льгот и льгот по неналоговым доходам, имеют положительную динамику.</w:t>
      </w:r>
    </w:p>
    <w:p w14:paraId="51D87CC2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 Динамика является положительной, если:</w:t>
      </w:r>
    </w:p>
    <w:p w14:paraId="7936FFA8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 темп роста финансово-экономических показателей деятельности категории налогоплательщиков в результате предоставления налоговых льгот и льгот по неналоговым доходам  больше темпа роста финансово-экономических показателей деятельности категории плательщиков без применения  льгот;</w:t>
      </w:r>
    </w:p>
    <w:p w14:paraId="4DFAC06C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 темп падения финансово-экономических показателей деятельности категории плательщиков в результате предоставления налоговых льгот и льгот по неналоговым доходам  меньше темпа падения финансово-экономических показателей деятельности категории плательщиков без применения налоговой льготы и льгот по неналоговым доходам;</w:t>
      </w:r>
    </w:p>
    <w:p w14:paraId="27B4DAC2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 3) социальная эффективность.</w:t>
      </w:r>
    </w:p>
    <w:p w14:paraId="6039110D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     Налоговые льготы и льготы по неналоговым доходам  организациям признаются социально эффективными при увеличении числа рабочих мест, созданных для социально незащищенных категорий граждан.</w:t>
      </w:r>
    </w:p>
    <w:p w14:paraId="085011FE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 Эффективность предоставления (пролонгации) налоговых льгот и льгот по неналоговым </w:t>
      </w:r>
      <w:proofErr w:type="gramStart"/>
      <w:r w:rsidRPr="00FC3AF2">
        <w:rPr>
          <w:rFonts w:ascii="Times New Roman" w:hAnsi="Times New Roman" w:cs="Times New Roman"/>
          <w:sz w:val="24"/>
          <w:szCs w:val="24"/>
        </w:rPr>
        <w:t>доходам  рассчитывается</w:t>
      </w:r>
      <w:proofErr w:type="gramEnd"/>
      <w:r w:rsidRPr="00FC3AF2">
        <w:rPr>
          <w:rFonts w:ascii="Times New Roman" w:hAnsi="Times New Roman" w:cs="Times New Roman"/>
          <w:sz w:val="24"/>
          <w:szCs w:val="24"/>
        </w:rPr>
        <w:t xml:space="preserve"> по каждому налогу и неналоговым доходам в разрезе подразделов кодов основного вида экономической деятельности налогоплательщика, согласно Общероссийскому классификатору видов экономической деятельности.</w:t>
      </w:r>
    </w:p>
    <w:p w14:paraId="02CEF0D4" w14:textId="77777777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 xml:space="preserve">  При наличии сведений о суммах налоговых льгот и льгот по неналоговым </w:t>
      </w:r>
      <w:proofErr w:type="gramStart"/>
      <w:r w:rsidRPr="00FC3AF2">
        <w:rPr>
          <w:rFonts w:ascii="Times New Roman" w:hAnsi="Times New Roman" w:cs="Times New Roman"/>
          <w:sz w:val="24"/>
          <w:szCs w:val="24"/>
        </w:rPr>
        <w:t>доходам  по</w:t>
      </w:r>
      <w:proofErr w:type="gramEnd"/>
      <w:r w:rsidRPr="00FC3AF2">
        <w:rPr>
          <w:rFonts w:ascii="Times New Roman" w:hAnsi="Times New Roman" w:cs="Times New Roman"/>
          <w:sz w:val="24"/>
          <w:szCs w:val="24"/>
        </w:rPr>
        <w:t xml:space="preserve"> категориям налогоплательщиков эффективность налоговых льгот и льгот по неналоговым доходам  рассчитывается по каждой категории плательщиков.</w:t>
      </w:r>
    </w:p>
    <w:p w14:paraId="57F9A74B" w14:textId="70DD3BCB" w:rsidR="00FC3AF2" w:rsidRPr="00FC3AF2" w:rsidRDefault="00FC3AF2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F2">
        <w:rPr>
          <w:rFonts w:ascii="Times New Roman" w:hAnsi="Times New Roman" w:cs="Times New Roman"/>
          <w:sz w:val="24"/>
          <w:szCs w:val="24"/>
        </w:rPr>
        <w:t>   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23492">
        <w:rPr>
          <w:rFonts w:ascii="Times New Roman" w:hAnsi="Times New Roman" w:cs="Times New Roman"/>
          <w:sz w:val="24"/>
          <w:szCs w:val="24"/>
        </w:rPr>
        <w:t>3</w:t>
      </w:r>
      <w:r w:rsidRPr="00FC3AF2">
        <w:rPr>
          <w:rFonts w:ascii="Times New Roman" w:hAnsi="Times New Roman" w:cs="Times New Roman"/>
          <w:sz w:val="24"/>
          <w:szCs w:val="24"/>
        </w:rPr>
        <w:t xml:space="preserve"> году льготы, субсидии, преференции юридическим лицам не предоставлялись.</w:t>
      </w:r>
    </w:p>
    <w:p w14:paraId="1BC85B0A" w14:textId="77777777" w:rsidR="00174807" w:rsidRPr="00FC3AF2" w:rsidRDefault="00174807" w:rsidP="00DA3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4807" w:rsidRPr="00FC3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F2"/>
    <w:rsid w:val="00174807"/>
    <w:rsid w:val="00657410"/>
    <w:rsid w:val="00923492"/>
    <w:rsid w:val="00A54F26"/>
    <w:rsid w:val="00DA3BE8"/>
    <w:rsid w:val="00FC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ED9A2"/>
  <w15:chartTrackingRefBased/>
  <w15:docId w15:val="{BE8161CC-F03D-4506-BAF8-81810554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5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Хлебникова</dc:creator>
  <cp:keywords/>
  <dc:description/>
  <cp:lastModifiedBy>Наталия Хлебникова</cp:lastModifiedBy>
  <cp:revision>3</cp:revision>
  <dcterms:created xsi:type="dcterms:W3CDTF">2023-04-07T10:31:00Z</dcterms:created>
  <dcterms:modified xsi:type="dcterms:W3CDTF">2024-03-29T07:27:00Z</dcterms:modified>
</cp:coreProperties>
</file>