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7" w:type="dxa"/>
        <w:tblInd w:w="250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0D7755" w:rsidRPr="00F33928" w:rsidTr="0051237B">
        <w:tc>
          <w:tcPr>
            <w:tcW w:w="3573" w:type="dxa"/>
            <w:shd w:val="clear" w:color="auto" w:fill="auto"/>
          </w:tcPr>
          <w:p w:rsidR="000D7755" w:rsidRPr="001536BA" w:rsidRDefault="000D7755" w:rsidP="00B77551">
            <w:pPr>
              <w:pStyle w:val="ab"/>
              <w:ind w:firstLine="0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:rsidR="000D7755" w:rsidRPr="00F33928" w:rsidRDefault="000D7755" w:rsidP="00B77551">
            <w:pPr>
              <w:pStyle w:val="ab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0D7755" w:rsidRDefault="000D7755" w:rsidP="00B77551">
            <w:pPr>
              <w:pStyle w:val="ab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:rsidR="000D7755" w:rsidRPr="00F33928" w:rsidRDefault="000D7755" w:rsidP="00B77551">
            <w:pPr>
              <w:pStyle w:val="ab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:rsidR="000D7755" w:rsidRPr="00F33928" w:rsidRDefault="000D7755" w:rsidP="00B77551">
            <w:pPr>
              <w:pStyle w:val="ab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0D7755" w:rsidRPr="00F33928" w:rsidRDefault="000D7755" w:rsidP="00B77551">
            <w:pPr>
              <w:pStyle w:val="ab"/>
              <w:ind w:firstLine="0"/>
              <w:jc w:val="center"/>
              <w:rPr>
                <w:rFonts w:ascii="Arial Cyr Chuv" w:hAnsi="Arial Cyr Chuv"/>
              </w:rPr>
            </w:pPr>
            <w:r w:rsidRPr="00F33928">
              <w:rPr>
                <w:rFonts w:ascii="Arial Cyr Chuv" w:hAnsi="Arial Cyr Chuv"/>
                <w:b/>
              </w:rPr>
              <w:t>ЙЫШЁНУ</w:t>
            </w:r>
          </w:p>
          <w:p w:rsidR="000D7755" w:rsidRPr="00F33928" w:rsidRDefault="000D7755" w:rsidP="00B77551">
            <w:pPr>
              <w:pStyle w:val="ab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1"/>
              <w:gridCol w:w="438"/>
              <w:gridCol w:w="1216"/>
            </w:tblGrid>
            <w:tr w:rsidR="000D7755" w:rsidRPr="00F33928" w:rsidTr="00B77551">
              <w:tc>
                <w:tcPr>
                  <w:tcW w:w="1521" w:type="dxa"/>
                </w:tcPr>
                <w:p w:rsidR="000D7755" w:rsidRPr="00F33928" w:rsidRDefault="000D7755" w:rsidP="00B77551">
                  <w:pPr>
                    <w:pStyle w:val="ab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bottom w:val="nil"/>
                  </w:tcBorders>
                </w:tcPr>
                <w:p w:rsidR="000D7755" w:rsidRPr="00F33928" w:rsidRDefault="000D7755" w:rsidP="00B77551">
                  <w:pPr>
                    <w:pStyle w:val="ab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:rsidR="000D7755" w:rsidRPr="00F33928" w:rsidRDefault="000D7755" w:rsidP="00B77551">
                  <w:pPr>
                    <w:pStyle w:val="ab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:rsidR="000D7755" w:rsidRPr="00F33928" w:rsidRDefault="000D7755" w:rsidP="00B77551">
            <w:pPr>
              <w:pStyle w:val="ab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811" w:type="dxa"/>
            <w:shd w:val="clear" w:color="auto" w:fill="auto"/>
          </w:tcPr>
          <w:p w:rsidR="000D7755" w:rsidRPr="00F33928" w:rsidRDefault="0007191D" w:rsidP="00B77551">
            <w:pPr>
              <w:pStyle w:val="ab"/>
              <w:rPr>
                <w:b/>
                <w:sz w:val="22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94BCB7" wp14:editId="07187972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16510</wp:posOffset>
                  </wp:positionV>
                  <wp:extent cx="824230" cy="852170"/>
                  <wp:effectExtent l="0" t="0" r="0" b="5080"/>
                  <wp:wrapTopAndBottom/>
                  <wp:docPr id="1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3" w:type="dxa"/>
            <w:shd w:val="clear" w:color="auto" w:fill="auto"/>
          </w:tcPr>
          <w:p w:rsidR="000D7755" w:rsidRPr="00F33928" w:rsidRDefault="000D7755" w:rsidP="00B77551">
            <w:pPr>
              <w:pStyle w:val="ab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:rsidR="000D7755" w:rsidRPr="00F33928" w:rsidRDefault="000D7755" w:rsidP="00B77551">
            <w:pPr>
              <w:pStyle w:val="ab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0D7755" w:rsidRPr="00F33928" w:rsidRDefault="000D7755" w:rsidP="00B77551">
            <w:pPr>
              <w:pStyle w:val="ab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:rsidR="000D7755" w:rsidRPr="00F33928" w:rsidRDefault="000D7755" w:rsidP="00B77551">
            <w:pPr>
              <w:pStyle w:val="ab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0D7755" w:rsidRPr="00F33928" w:rsidRDefault="000D7755" w:rsidP="00B77551">
            <w:pPr>
              <w:pStyle w:val="ab"/>
              <w:ind w:firstLine="0"/>
              <w:jc w:val="center"/>
              <w:rPr>
                <w:rFonts w:ascii="Arial Cyr Chuv" w:hAnsi="Arial Cyr Chuv"/>
                <w:b/>
              </w:rPr>
            </w:pPr>
            <w:r w:rsidRPr="00F33928">
              <w:rPr>
                <w:rFonts w:ascii="Arial Cyr Chuv" w:hAnsi="Arial Cyr Chuv"/>
                <w:b/>
              </w:rPr>
              <w:t>ПОСТАНОВЛЕНИЕ</w:t>
            </w:r>
          </w:p>
          <w:p w:rsidR="000D7755" w:rsidRPr="00F33928" w:rsidRDefault="000D7755" w:rsidP="00B77551">
            <w:pPr>
              <w:pStyle w:val="ab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0D7755" w:rsidRPr="00F33928" w:rsidTr="00B77551">
              <w:tc>
                <w:tcPr>
                  <w:tcW w:w="1413" w:type="dxa"/>
                </w:tcPr>
                <w:p w:rsidR="000D7755" w:rsidRPr="00F33928" w:rsidRDefault="00A547CD" w:rsidP="00B77551">
                  <w:pPr>
                    <w:pStyle w:val="ab"/>
                    <w:ind w:hanging="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18.05.2023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:rsidR="000D7755" w:rsidRPr="00F33928" w:rsidRDefault="000D7755" w:rsidP="00B77551">
                  <w:pPr>
                    <w:pStyle w:val="ab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:rsidR="000D7755" w:rsidRPr="00F33928" w:rsidRDefault="00A547CD" w:rsidP="00B77551">
                  <w:pPr>
                    <w:pStyle w:val="ab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973</w:t>
                  </w:r>
                </w:p>
              </w:tc>
            </w:tr>
          </w:tbl>
          <w:p w:rsidR="000D7755" w:rsidRPr="00F33928" w:rsidRDefault="000D7755" w:rsidP="00B77551">
            <w:pPr>
              <w:pStyle w:val="ab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:rsidR="000D7755" w:rsidRDefault="000D7755" w:rsidP="007C326B"/>
    <w:p w:rsidR="007C326B" w:rsidRPr="00386AB4" w:rsidRDefault="00FA047D" w:rsidP="007C326B">
      <w:pPr>
        <w:pStyle w:val="1"/>
        <w:spacing w:before="0" w:after="0"/>
        <w:ind w:right="5244"/>
        <w:jc w:val="both"/>
        <w:rPr>
          <w:color w:val="auto"/>
          <w:sz w:val="26"/>
          <w:szCs w:val="26"/>
        </w:rPr>
      </w:pPr>
      <w:hyperlink r:id="rId10" w:history="1">
        <w:r w:rsidR="007C326B" w:rsidRPr="00386AB4">
          <w:rPr>
            <w:rStyle w:val="a4"/>
            <w:bCs w:val="0"/>
            <w:color w:val="auto"/>
            <w:sz w:val="26"/>
            <w:szCs w:val="26"/>
          </w:rPr>
          <w:t xml:space="preserve">Об утверждении Порядка оценки налоговых расходов </w:t>
        </w:r>
      </w:hyperlink>
      <w:r w:rsidR="007C326B" w:rsidRPr="00386AB4">
        <w:rPr>
          <w:color w:val="auto"/>
          <w:sz w:val="26"/>
          <w:szCs w:val="26"/>
        </w:rPr>
        <w:t xml:space="preserve">Чебоксарского муниципального округа Чувашской Республики </w:t>
      </w:r>
    </w:p>
    <w:p w:rsidR="007C326B" w:rsidRPr="00386AB4" w:rsidRDefault="007C326B" w:rsidP="007C326B">
      <w:pPr>
        <w:rPr>
          <w:sz w:val="26"/>
          <w:szCs w:val="26"/>
        </w:rPr>
      </w:pPr>
    </w:p>
    <w:p w:rsidR="007C326B" w:rsidRPr="00DE6E98" w:rsidRDefault="007C326B" w:rsidP="007C326B">
      <w:pPr>
        <w:rPr>
          <w:sz w:val="26"/>
          <w:szCs w:val="26"/>
        </w:rPr>
      </w:pPr>
      <w:proofErr w:type="gramStart"/>
      <w:r w:rsidRPr="00386AB4">
        <w:rPr>
          <w:sz w:val="26"/>
          <w:szCs w:val="26"/>
        </w:rPr>
        <w:t xml:space="preserve">В соответствии со </w:t>
      </w:r>
      <w:hyperlink r:id="rId11" w:history="1">
        <w:r w:rsidRPr="00386AB4">
          <w:rPr>
            <w:rStyle w:val="a4"/>
            <w:color w:val="auto"/>
            <w:sz w:val="26"/>
            <w:szCs w:val="26"/>
          </w:rPr>
          <w:t>статьей 174.3</w:t>
        </w:r>
      </w:hyperlink>
      <w:r w:rsidRPr="00386AB4">
        <w:rPr>
          <w:sz w:val="26"/>
          <w:szCs w:val="26"/>
        </w:rPr>
        <w:t xml:space="preserve"> Бюджетного кодекса Российской Федерации, </w:t>
      </w:r>
      <w:hyperlink r:id="rId12" w:history="1">
        <w:r w:rsidRPr="00386AB4">
          <w:rPr>
            <w:rStyle w:val="a4"/>
            <w:color w:val="auto"/>
            <w:sz w:val="26"/>
            <w:szCs w:val="26"/>
          </w:rPr>
          <w:t>постановлением</w:t>
        </w:r>
      </w:hyperlink>
      <w:r w:rsidRPr="00386AB4">
        <w:rPr>
          <w:sz w:val="26"/>
          <w:szCs w:val="26"/>
        </w:rPr>
        <w:t xml:space="preserve"> Правительства Российской Федерации от 22 июня 2019 г</w:t>
      </w:r>
      <w:r w:rsidR="00C0563A">
        <w:rPr>
          <w:sz w:val="26"/>
          <w:szCs w:val="26"/>
        </w:rPr>
        <w:t>.</w:t>
      </w:r>
      <w:r w:rsidRPr="00386AB4">
        <w:rPr>
          <w:sz w:val="26"/>
          <w:szCs w:val="26"/>
        </w:rPr>
        <w:t xml:space="preserve"> № 796 «Об общих требованиях к оценке </w:t>
      </w:r>
      <w:r w:rsidRPr="00DE6E98">
        <w:rPr>
          <w:sz w:val="26"/>
          <w:szCs w:val="26"/>
        </w:rPr>
        <w:t>налоговых расходов субъектов Российской Федерации и муниципальных образований»</w:t>
      </w:r>
      <w:r w:rsidR="00C0563A" w:rsidRPr="00DE6E98">
        <w:rPr>
          <w:sz w:val="26"/>
          <w:szCs w:val="26"/>
        </w:rPr>
        <w:t xml:space="preserve">, </w:t>
      </w:r>
      <w:hyperlink r:id="rId13" w:anchor="/document/73198510/entry/0" w:history="1">
        <w:r w:rsidR="00C0563A" w:rsidRPr="00DE6E98">
          <w:rPr>
            <w:rStyle w:val="af3"/>
            <w:color w:val="auto"/>
            <w:sz w:val="26"/>
            <w:szCs w:val="26"/>
            <w:u w:val="none"/>
            <w:shd w:val="clear" w:color="auto" w:fill="FFFFFF"/>
          </w:rPr>
          <w:t>постановлением</w:t>
        </w:r>
      </w:hyperlink>
      <w:r w:rsidR="00C0563A" w:rsidRPr="00DE6E98">
        <w:rPr>
          <w:sz w:val="26"/>
          <w:szCs w:val="26"/>
          <w:shd w:val="clear" w:color="auto" w:fill="FFFFFF"/>
        </w:rPr>
        <w:t xml:space="preserve">  Кабинета Министров Чувашской Республики от 11 декабря 2019 г. № 537 «Об утверждении Порядка оценки налоговых расходов Чувашской Республики» </w:t>
      </w:r>
      <w:r w:rsidRPr="00DE6E98">
        <w:rPr>
          <w:sz w:val="26"/>
          <w:szCs w:val="26"/>
        </w:rPr>
        <w:t>администрация Чебоксарского муниципального округа</w:t>
      </w:r>
      <w:proofErr w:type="gramEnd"/>
      <w:r w:rsidRPr="00DE6E98">
        <w:rPr>
          <w:sz w:val="26"/>
          <w:szCs w:val="26"/>
        </w:rPr>
        <w:t xml:space="preserve"> Чувашской Республики </w:t>
      </w:r>
      <w:proofErr w:type="gramStart"/>
      <w:r w:rsidRPr="00DE6E98">
        <w:rPr>
          <w:sz w:val="26"/>
          <w:szCs w:val="26"/>
        </w:rPr>
        <w:t>п</w:t>
      </w:r>
      <w:proofErr w:type="gramEnd"/>
      <w:r w:rsidRPr="00DE6E98">
        <w:rPr>
          <w:sz w:val="26"/>
          <w:szCs w:val="26"/>
        </w:rPr>
        <w:t xml:space="preserve"> о с т а н о в л я е т:</w:t>
      </w:r>
    </w:p>
    <w:p w:rsidR="007C326B" w:rsidRPr="00386AB4" w:rsidRDefault="007C326B" w:rsidP="007C326B">
      <w:pPr>
        <w:rPr>
          <w:sz w:val="26"/>
          <w:szCs w:val="26"/>
        </w:rPr>
      </w:pPr>
      <w:bookmarkStart w:id="0" w:name="sub_1"/>
      <w:r w:rsidRPr="00DE6E98">
        <w:rPr>
          <w:sz w:val="26"/>
          <w:szCs w:val="26"/>
        </w:rPr>
        <w:t>1. Утвердить Порядок оценки н</w:t>
      </w:r>
      <w:r w:rsidRPr="00386AB4">
        <w:rPr>
          <w:sz w:val="26"/>
          <w:szCs w:val="26"/>
        </w:rPr>
        <w:t xml:space="preserve">алоговых расходов Чебоксарского муниципального округа Чувашской Республики согласно </w:t>
      </w:r>
      <w:hyperlink w:anchor="sub_1000" w:history="1">
        <w:r w:rsidRPr="00386AB4">
          <w:rPr>
            <w:rStyle w:val="a4"/>
            <w:color w:val="auto"/>
            <w:sz w:val="26"/>
            <w:szCs w:val="26"/>
          </w:rPr>
          <w:t>приложению</w:t>
        </w:r>
      </w:hyperlink>
      <w:r w:rsidRPr="00386AB4">
        <w:rPr>
          <w:sz w:val="26"/>
          <w:szCs w:val="26"/>
        </w:rPr>
        <w:t xml:space="preserve"> к настоящему постановлению.</w:t>
      </w:r>
    </w:p>
    <w:bookmarkEnd w:id="0"/>
    <w:p w:rsidR="00DE6E98" w:rsidRPr="00A4241F" w:rsidRDefault="006A595A" w:rsidP="00DE6E98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386AB4" w:rsidRPr="00386AB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Start w:id="1" w:name="sub_3"/>
      <w:r w:rsidR="00386AB4" w:rsidRPr="00386AB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hyperlink r:id="rId14" w:history="1">
        <w:r w:rsidR="00386AB4" w:rsidRPr="00386AB4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официального опубликования</w:t>
        </w:r>
      </w:hyperlink>
      <w:r w:rsidR="00386AB4" w:rsidRPr="00386AB4">
        <w:rPr>
          <w:rStyle w:val="a4"/>
          <w:rFonts w:ascii="Times New Roman" w:hAnsi="Times New Roman" w:cs="Times New Roman"/>
          <w:color w:val="auto"/>
          <w:sz w:val="26"/>
          <w:szCs w:val="26"/>
        </w:rPr>
        <w:t xml:space="preserve"> в </w:t>
      </w:r>
      <w:r w:rsidR="00386AB4" w:rsidRPr="00386AB4">
        <w:rPr>
          <w:rFonts w:ascii="Times New Roman" w:hAnsi="Times New Roman" w:cs="Times New Roman"/>
          <w:sz w:val="26"/>
          <w:szCs w:val="26"/>
          <w:shd w:val="clear" w:color="auto" w:fill="FFFFFF"/>
        </w:rPr>
        <w:t>периодическом печатном издании «Ведомости Чебоксарского муниципального округа»</w:t>
      </w:r>
      <w:r w:rsidR="00DE6E9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E6E98" w:rsidRPr="00A4241F">
        <w:rPr>
          <w:sz w:val="26"/>
          <w:szCs w:val="26"/>
        </w:rPr>
        <w:t>и применяется к правоотношениям, возникшим с 1 января 202</w:t>
      </w:r>
      <w:r w:rsidR="00DE6E98">
        <w:rPr>
          <w:sz w:val="26"/>
          <w:szCs w:val="26"/>
        </w:rPr>
        <w:t>3</w:t>
      </w:r>
      <w:r w:rsidR="00DE6E98" w:rsidRPr="00A4241F">
        <w:rPr>
          <w:sz w:val="26"/>
          <w:szCs w:val="26"/>
        </w:rPr>
        <w:t xml:space="preserve"> года.</w:t>
      </w:r>
    </w:p>
    <w:p w:rsidR="00386AB4" w:rsidRPr="00386AB4" w:rsidRDefault="00386AB4" w:rsidP="00386AB4">
      <w:pPr>
        <w:rPr>
          <w:rFonts w:ascii="Times New Roman" w:hAnsi="Times New Roman" w:cs="Times New Roman"/>
          <w:sz w:val="26"/>
          <w:szCs w:val="26"/>
        </w:rPr>
      </w:pPr>
    </w:p>
    <w:bookmarkEnd w:id="1"/>
    <w:p w:rsidR="007C326B" w:rsidRDefault="007C326B" w:rsidP="007C326B">
      <w:pPr>
        <w:rPr>
          <w:sz w:val="26"/>
          <w:szCs w:val="26"/>
        </w:rPr>
      </w:pPr>
    </w:p>
    <w:p w:rsidR="00386AB4" w:rsidRPr="00386AB4" w:rsidRDefault="00386AB4" w:rsidP="007C326B">
      <w:pPr>
        <w:rPr>
          <w:sz w:val="26"/>
          <w:szCs w:val="26"/>
        </w:rPr>
      </w:pPr>
    </w:p>
    <w:tbl>
      <w:tblPr>
        <w:tblW w:w="4896" w:type="pct"/>
        <w:tblInd w:w="108" w:type="dxa"/>
        <w:tblLook w:val="0000" w:firstRow="0" w:lastRow="0" w:firstColumn="0" w:lastColumn="0" w:noHBand="0" w:noVBand="0"/>
      </w:tblPr>
      <w:tblGrid>
        <w:gridCol w:w="6946"/>
        <w:gridCol w:w="3259"/>
      </w:tblGrid>
      <w:tr w:rsidR="00386AB4" w:rsidRPr="00386AB4" w:rsidTr="00782BA4">
        <w:tc>
          <w:tcPr>
            <w:tcW w:w="3403" w:type="pct"/>
            <w:tcBorders>
              <w:top w:val="nil"/>
              <w:left w:val="nil"/>
              <w:bottom w:val="nil"/>
              <w:right w:val="nil"/>
            </w:tcBorders>
          </w:tcPr>
          <w:p w:rsidR="00386AB4" w:rsidRPr="00386AB4" w:rsidRDefault="007C326B" w:rsidP="00386AB4">
            <w:pPr>
              <w:pStyle w:val="a9"/>
              <w:rPr>
                <w:sz w:val="26"/>
                <w:szCs w:val="26"/>
              </w:rPr>
            </w:pPr>
            <w:r w:rsidRPr="00386AB4">
              <w:rPr>
                <w:sz w:val="26"/>
                <w:szCs w:val="26"/>
              </w:rPr>
              <w:t>Глава Чебоксарского</w:t>
            </w:r>
          </w:p>
          <w:p w:rsidR="007C326B" w:rsidRPr="00386AB4" w:rsidRDefault="007C326B" w:rsidP="00386AB4">
            <w:pPr>
              <w:pStyle w:val="a9"/>
              <w:rPr>
                <w:sz w:val="26"/>
                <w:szCs w:val="26"/>
              </w:rPr>
            </w:pPr>
            <w:r w:rsidRPr="00386AB4">
              <w:rPr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7C326B" w:rsidRPr="00386AB4" w:rsidRDefault="007C326B" w:rsidP="00890178">
            <w:pPr>
              <w:pStyle w:val="a7"/>
              <w:jc w:val="right"/>
              <w:rPr>
                <w:sz w:val="26"/>
                <w:szCs w:val="26"/>
              </w:rPr>
            </w:pPr>
          </w:p>
          <w:p w:rsidR="00386AB4" w:rsidRPr="00386AB4" w:rsidRDefault="00386AB4" w:rsidP="00386AB4">
            <w:pPr>
              <w:jc w:val="right"/>
              <w:rPr>
                <w:sz w:val="26"/>
                <w:szCs w:val="26"/>
              </w:rPr>
            </w:pPr>
            <w:r w:rsidRPr="00386AB4">
              <w:rPr>
                <w:sz w:val="26"/>
                <w:szCs w:val="26"/>
              </w:rPr>
              <w:t xml:space="preserve">Н.Е. </w:t>
            </w:r>
            <w:proofErr w:type="spellStart"/>
            <w:r w:rsidRPr="00386AB4">
              <w:rPr>
                <w:sz w:val="26"/>
                <w:szCs w:val="26"/>
              </w:rPr>
              <w:t>Хорасёв</w:t>
            </w:r>
            <w:proofErr w:type="spellEnd"/>
          </w:p>
        </w:tc>
      </w:tr>
    </w:tbl>
    <w:p w:rsidR="007C326B" w:rsidRPr="007C326B" w:rsidRDefault="007C326B" w:rsidP="007C326B">
      <w:pPr>
        <w:rPr>
          <w:sz w:val="26"/>
          <w:szCs w:val="26"/>
        </w:rPr>
      </w:pPr>
    </w:p>
    <w:p w:rsidR="00A418BE" w:rsidRDefault="00A418BE" w:rsidP="007C326B">
      <w:pPr>
        <w:ind w:firstLine="0"/>
        <w:jc w:val="right"/>
        <w:rPr>
          <w:rStyle w:val="a3"/>
          <w:color w:val="auto"/>
          <w:sz w:val="26"/>
          <w:szCs w:val="26"/>
        </w:rPr>
      </w:pPr>
      <w:bookmarkStart w:id="2" w:name="sub_1000"/>
    </w:p>
    <w:p w:rsidR="00A418BE" w:rsidRDefault="00A418BE" w:rsidP="007C326B">
      <w:pPr>
        <w:ind w:firstLine="0"/>
        <w:jc w:val="right"/>
        <w:rPr>
          <w:rStyle w:val="a3"/>
          <w:color w:val="auto"/>
          <w:sz w:val="26"/>
          <w:szCs w:val="26"/>
        </w:rPr>
      </w:pPr>
    </w:p>
    <w:p w:rsidR="00A418BE" w:rsidRDefault="00A418BE" w:rsidP="007C326B">
      <w:pPr>
        <w:ind w:firstLine="0"/>
        <w:jc w:val="right"/>
        <w:rPr>
          <w:rStyle w:val="a3"/>
          <w:color w:val="auto"/>
          <w:sz w:val="26"/>
          <w:szCs w:val="26"/>
        </w:rPr>
      </w:pPr>
    </w:p>
    <w:p w:rsidR="00A418BE" w:rsidRDefault="00A418BE" w:rsidP="007C326B">
      <w:pPr>
        <w:ind w:firstLine="0"/>
        <w:jc w:val="right"/>
        <w:rPr>
          <w:rStyle w:val="a3"/>
          <w:color w:val="auto"/>
          <w:sz w:val="26"/>
          <w:szCs w:val="26"/>
        </w:rPr>
      </w:pPr>
    </w:p>
    <w:p w:rsidR="00A418BE" w:rsidRDefault="00A418BE" w:rsidP="007C326B">
      <w:pPr>
        <w:ind w:firstLine="0"/>
        <w:jc w:val="right"/>
        <w:rPr>
          <w:rStyle w:val="a3"/>
          <w:color w:val="auto"/>
          <w:sz w:val="26"/>
          <w:szCs w:val="26"/>
        </w:rPr>
      </w:pPr>
    </w:p>
    <w:p w:rsidR="00A418BE" w:rsidRDefault="00A418BE" w:rsidP="007C326B">
      <w:pPr>
        <w:ind w:firstLine="0"/>
        <w:jc w:val="right"/>
        <w:rPr>
          <w:rStyle w:val="a3"/>
          <w:color w:val="auto"/>
          <w:sz w:val="26"/>
          <w:szCs w:val="26"/>
        </w:rPr>
      </w:pPr>
    </w:p>
    <w:p w:rsidR="00A418BE" w:rsidRDefault="00A418BE" w:rsidP="007C326B">
      <w:pPr>
        <w:ind w:firstLine="0"/>
        <w:jc w:val="right"/>
        <w:rPr>
          <w:rStyle w:val="a3"/>
          <w:color w:val="auto"/>
          <w:sz w:val="26"/>
          <w:szCs w:val="26"/>
        </w:rPr>
      </w:pPr>
    </w:p>
    <w:p w:rsidR="00A418BE" w:rsidRDefault="00A418BE" w:rsidP="007C326B">
      <w:pPr>
        <w:ind w:firstLine="0"/>
        <w:jc w:val="right"/>
        <w:rPr>
          <w:rStyle w:val="a3"/>
          <w:color w:val="auto"/>
          <w:sz w:val="26"/>
          <w:szCs w:val="26"/>
        </w:rPr>
      </w:pPr>
    </w:p>
    <w:p w:rsidR="00A418BE" w:rsidRDefault="00A418BE" w:rsidP="007C326B">
      <w:pPr>
        <w:ind w:firstLine="0"/>
        <w:jc w:val="right"/>
        <w:rPr>
          <w:rStyle w:val="a3"/>
          <w:color w:val="auto"/>
          <w:sz w:val="26"/>
          <w:szCs w:val="26"/>
        </w:rPr>
      </w:pPr>
    </w:p>
    <w:p w:rsidR="00A418BE" w:rsidRDefault="00A418BE" w:rsidP="007C326B">
      <w:pPr>
        <w:ind w:firstLine="0"/>
        <w:jc w:val="right"/>
        <w:rPr>
          <w:rStyle w:val="a3"/>
          <w:color w:val="auto"/>
          <w:sz w:val="26"/>
          <w:szCs w:val="26"/>
        </w:rPr>
      </w:pPr>
    </w:p>
    <w:p w:rsidR="006A595A" w:rsidRDefault="006A595A" w:rsidP="007C326B">
      <w:pPr>
        <w:ind w:firstLine="0"/>
        <w:jc w:val="right"/>
        <w:rPr>
          <w:rStyle w:val="a3"/>
          <w:color w:val="auto"/>
          <w:sz w:val="26"/>
          <w:szCs w:val="26"/>
        </w:rPr>
      </w:pPr>
    </w:p>
    <w:p w:rsidR="006A595A" w:rsidRDefault="006A595A" w:rsidP="007C326B">
      <w:pPr>
        <w:ind w:firstLine="0"/>
        <w:jc w:val="right"/>
        <w:rPr>
          <w:rStyle w:val="a3"/>
          <w:color w:val="auto"/>
          <w:sz w:val="26"/>
          <w:szCs w:val="26"/>
        </w:rPr>
      </w:pPr>
    </w:p>
    <w:p w:rsidR="006A595A" w:rsidRDefault="006A595A" w:rsidP="007C326B">
      <w:pPr>
        <w:ind w:firstLine="0"/>
        <w:jc w:val="right"/>
        <w:rPr>
          <w:rStyle w:val="a3"/>
          <w:color w:val="auto"/>
          <w:sz w:val="26"/>
          <w:szCs w:val="26"/>
        </w:rPr>
      </w:pPr>
    </w:p>
    <w:p w:rsidR="00E4016E" w:rsidRDefault="00E4016E" w:rsidP="007C326B">
      <w:pPr>
        <w:ind w:firstLine="0"/>
        <w:jc w:val="right"/>
        <w:rPr>
          <w:rStyle w:val="a3"/>
          <w:color w:val="auto"/>
          <w:sz w:val="26"/>
          <w:szCs w:val="26"/>
        </w:rPr>
      </w:pPr>
    </w:p>
    <w:p w:rsidR="007C326B" w:rsidRPr="00A418BE" w:rsidRDefault="007C326B" w:rsidP="00A418BE">
      <w:pPr>
        <w:ind w:left="5812" w:firstLine="0"/>
        <w:jc w:val="center"/>
        <w:rPr>
          <w:b/>
        </w:rPr>
      </w:pPr>
      <w:proofErr w:type="gramStart"/>
      <w:r w:rsidRPr="00A418BE">
        <w:rPr>
          <w:rStyle w:val="a3"/>
          <w:b w:val="0"/>
          <w:color w:val="auto"/>
        </w:rPr>
        <w:t>Утвержден</w:t>
      </w:r>
      <w:proofErr w:type="gramEnd"/>
      <w:r w:rsidRPr="00A418BE">
        <w:rPr>
          <w:rStyle w:val="a3"/>
          <w:b w:val="0"/>
          <w:color w:val="auto"/>
        </w:rPr>
        <w:br/>
      </w:r>
      <w:hyperlink w:anchor="sub_0" w:history="1">
        <w:r w:rsidRPr="00A418BE">
          <w:rPr>
            <w:rStyle w:val="a4"/>
            <w:color w:val="auto"/>
          </w:rPr>
          <w:t>постановлением</w:t>
        </w:r>
      </w:hyperlink>
      <w:r w:rsidRPr="00A418BE">
        <w:rPr>
          <w:rStyle w:val="a3"/>
          <w:color w:val="auto"/>
        </w:rPr>
        <w:t xml:space="preserve"> </w:t>
      </w:r>
      <w:r w:rsidRPr="00A418BE">
        <w:rPr>
          <w:rStyle w:val="a3"/>
          <w:b w:val="0"/>
          <w:color w:val="auto"/>
        </w:rPr>
        <w:t>администрации</w:t>
      </w:r>
      <w:r w:rsidRPr="00A418BE">
        <w:rPr>
          <w:rStyle w:val="a3"/>
          <w:b w:val="0"/>
          <w:color w:val="auto"/>
        </w:rPr>
        <w:br/>
        <w:t>Чебоксарского муниципального округа Чувашской Республики</w:t>
      </w:r>
      <w:r w:rsidRPr="00A418BE">
        <w:rPr>
          <w:rStyle w:val="a3"/>
          <w:b w:val="0"/>
          <w:color w:val="auto"/>
        </w:rPr>
        <w:br/>
        <w:t xml:space="preserve">от </w:t>
      </w:r>
      <w:r w:rsidR="00A418BE" w:rsidRPr="00A418BE">
        <w:rPr>
          <w:rStyle w:val="a3"/>
          <w:b w:val="0"/>
          <w:color w:val="auto"/>
        </w:rPr>
        <w:t>________</w:t>
      </w:r>
      <w:r w:rsidRPr="00A418BE">
        <w:rPr>
          <w:rStyle w:val="a3"/>
          <w:b w:val="0"/>
          <w:color w:val="auto"/>
        </w:rPr>
        <w:t xml:space="preserve"> </w:t>
      </w:r>
      <w:r w:rsidR="00A418BE" w:rsidRPr="00A418BE">
        <w:rPr>
          <w:rStyle w:val="a3"/>
          <w:b w:val="0"/>
          <w:color w:val="auto"/>
        </w:rPr>
        <w:t>№ _____</w:t>
      </w:r>
    </w:p>
    <w:bookmarkEnd w:id="2"/>
    <w:p w:rsidR="007C326B" w:rsidRPr="00A418BE" w:rsidRDefault="007C326B" w:rsidP="007C326B"/>
    <w:p w:rsidR="00A418BE" w:rsidRPr="00A418BE" w:rsidRDefault="007C326B" w:rsidP="00A418BE">
      <w:pPr>
        <w:pStyle w:val="1"/>
        <w:spacing w:before="0" w:after="0"/>
        <w:rPr>
          <w:color w:val="auto"/>
        </w:rPr>
      </w:pPr>
      <w:r w:rsidRPr="00A418BE">
        <w:rPr>
          <w:color w:val="auto"/>
        </w:rPr>
        <w:t>Порядок</w:t>
      </w:r>
      <w:r w:rsidRPr="00A418BE">
        <w:rPr>
          <w:color w:val="auto"/>
        </w:rPr>
        <w:br/>
        <w:t xml:space="preserve">оценки налоговых расходов Чебоксарского муниципального округа </w:t>
      </w:r>
    </w:p>
    <w:p w:rsidR="007C326B" w:rsidRPr="00A418BE" w:rsidRDefault="007C326B" w:rsidP="00A418BE">
      <w:pPr>
        <w:pStyle w:val="1"/>
        <w:spacing w:before="0" w:after="0"/>
        <w:rPr>
          <w:color w:val="auto"/>
        </w:rPr>
      </w:pPr>
      <w:r w:rsidRPr="00A418BE">
        <w:rPr>
          <w:color w:val="auto"/>
        </w:rPr>
        <w:t>Чувашской Республики</w:t>
      </w:r>
    </w:p>
    <w:p w:rsidR="007C326B" w:rsidRPr="007C326B" w:rsidRDefault="007C326B" w:rsidP="00A418BE">
      <w:pPr>
        <w:rPr>
          <w:sz w:val="26"/>
          <w:szCs w:val="26"/>
        </w:rPr>
      </w:pPr>
    </w:p>
    <w:p w:rsidR="007C326B" w:rsidRDefault="007C326B" w:rsidP="00A418BE">
      <w:pPr>
        <w:pStyle w:val="1"/>
        <w:spacing w:before="0" w:after="0"/>
      </w:pPr>
      <w:bookmarkStart w:id="3" w:name="sub_1001"/>
      <w:r>
        <w:t>I. Общие положения</w:t>
      </w:r>
    </w:p>
    <w:bookmarkEnd w:id="3"/>
    <w:p w:rsidR="007C326B" w:rsidRDefault="007C326B" w:rsidP="00A418BE"/>
    <w:p w:rsidR="007C326B" w:rsidRDefault="007C326B" w:rsidP="00A418BE">
      <w:bookmarkStart w:id="4" w:name="sub_100"/>
      <w:r>
        <w:t>1. Настоящий Порядок определяет процедуру оценки налоговых расходов Чебоксарского муниципального округа Чувашской Республики (далее также - налоговые расходы), правила формирования информации о нормативных, целевых и фискальных характеристиках налоговых расходов, а также порядок обобщения результатов оценки эффективности налоговых расходов, осуществляемой кураторами налоговых расходов Чебоксарского муниципального округа Чувашской Республики.</w:t>
      </w:r>
    </w:p>
    <w:p w:rsidR="007C326B" w:rsidRDefault="007C326B" w:rsidP="007C326B">
      <w:bookmarkStart w:id="5" w:name="sub_200"/>
      <w:bookmarkEnd w:id="4"/>
      <w:r>
        <w:t>2. Для целей настоящего Порядка используются следующие понятия и термины:</w:t>
      </w:r>
    </w:p>
    <w:p w:rsidR="007C326B" w:rsidRDefault="007C326B" w:rsidP="007C326B">
      <w:bookmarkStart w:id="6" w:name="sub_202"/>
      <w:bookmarkEnd w:id="5"/>
      <w:proofErr w:type="gramStart"/>
      <w:r>
        <w:rPr>
          <w:rStyle w:val="a3"/>
        </w:rPr>
        <w:t>куратор налоговых расходов Чебоксарского муниципального округа Чувашской Республики</w:t>
      </w:r>
      <w:r>
        <w:t xml:space="preserve"> - структурные подразделения администрации Чебоксарского муниципального округа Чувашской Республики, ответственные за достижение соответствующих налоговому расходу Чебоксарского муниципального округа Чувашской Республики целей муниципальной программы Чебоксарского муниципального округа Чувашской Республики и (или) целей социально-экономического развития Чебоксарского муниципального округа Чувашской Республики, не относящихся к муниципальным программам Чебоксарского муниципального округа Чувашской Республики;</w:t>
      </w:r>
      <w:proofErr w:type="gramEnd"/>
    </w:p>
    <w:p w:rsidR="007C326B" w:rsidRDefault="007C326B" w:rsidP="007C326B">
      <w:bookmarkStart w:id="7" w:name="sub_203"/>
      <w:bookmarkEnd w:id="6"/>
      <w:proofErr w:type="gramStart"/>
      <w:r>
        <w:rPr>
          <w:rStyle w:val="a3"/>
        </w:rPr>
        <w:t>налоговые расходы Чебоксарского муниципального округа Чувашской Республики</w:t>
      </w:r>
      <w:r>
        <w:t xml:space="preserve"> - выпадающие доходы бюджета Чебоксарского муниципального округа Чувашской Республики, обусловленные налоговыми льготами, освобождениями и иными преференциями по налогам (далее - льготы), предусмотренными в качестве мер муниципальной поддержки в соответствии с целями муниципальных программ Чебоксарского муниципального округа Чувашской Республики и (или) целями социально-экономического развития Чебоксарского муниципального округа Чувашской Республики, не относящимися к муниципальным программам Чебоксарского муниципального</w:t>
      </w:r>
      <w:proofErr w:type="gramEnd"/>
      <w:r>
        <w:t xml:space="preserve"> округа Чувашской Республики;</w:t>
      </w:r>
    </w:p>
    <w:bookmarkEnd w:id="7"/>
    <w:p w:rsidR="007C326B" w:rsidRDefault="007C326B" w:rsidP="007C326B">
      <w:proofErr w:type="gramStart"/>
      <w:r>
        <w:rPr>
          <w:rStyle w:val="a3"/>
        </w:rPr>
        <w:t>нормативные характеристики налоговых расходов Чебоксарского муниципального округа Чувашской Республики</w:t>
      </w:r>
      <w:r>
        <w:t xml:space="preserve"> - сведения о положениях муниципальных правовых актов Чебоксарского муниципального округа Чувашской Республики,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 Чебоксарского муниципального округа Чувашской Республики;</w:t>
      </w:r>
      <w:proofErr w:type="gramEnd"/>
    </w:p>
    <w:p w:rsidR="007C326B" w:rsidRDefault="007C326B" w:rsidP="007C326B">
      <w:r>
        <w:rPr>
          <w:rStyle w:val="a3"/>
        </w:rPr>
        <w:t>оценка налоговых расходов Чебоксарского муниципального округа Чувашской Республики</w:t>
      </w:r>
      <w:r>
        <w:t xml:space="preserve">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7C326B" w:rsidRDefault="007C326B" w:rsidP="007C326B">
      <w:r>
        <w:rPr>
          <w:rStyle w:val="a3"/>
        </w:rPr>
        <w:t>оценка объемов налоговых расходов Чебоксарского муниципального округа Чувашской Республики</w:t>
      </w:r>
      <w:r>
        <w:t xml:space="preserve"> - определение объемов выпадающих доходов бюджета Чебоксарского муниципального округа Чувашской Республики, обусловленных льготами, предоставленными плательщикам;</w:t>
      </w:r>
    </w:p>
    <w:p w:rsidR="007C326B" w:rsidRDefault="007C326B" w:rsidP="007C326B">
      <w:r>
        <w:rPr>
          <w:rStyle w:val="a3"/>
        </w:rPr>
        <w:t>оценка эффективности налоговых расходов Чебоксарского муниципального округа Чувашской Республики</w:t>
      </w:r>
      <w: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7C326B" w:rsidRDefault="007C326B" w:rsidP="007C326B">
      <w:bookmarkStart w:id="8" w:name="sub_208"/>
      <w:proofErr w:type="gramStart"/>
      <w:r>
        <w:rPr>
          <w:rStyle w:val="a3"/>
        </w:rPr>
        <w:t>перечень налоговых расходов Чебоксарского муниципального округа Чувашской Республики</w:t>
      </w:r>
      <w:r>
        <w:t xml:space="preserve"> - документ, содержащий сведения о распределении налоговых расходов Чебоксарского муниципального округа Чувашской Республики в соответствии с целями муниципальных программ Чебоксарского муниципального округа Чувашской Республики и (или) целями социально-экономического развития Чебоксарского муниципального округа Чувашской Республики, не относящимися к муниципальным программам Чебоксарского муниципального округа Чувашской Республики, а также о кураторах налоговых расходов;</w:t>
      </w:r>
      <w:proofErr w:type="gramEnd"/>
    </w:p>
    <w:bookmarkEnd w:id="8"/>
    <w:p w:rsidR="007C326B" w:rsidRDefault="007C326B" w:rsidP="007C326B">
      <w:r>
        <w:rPr>
          <w:rStyle w:val="a3"/>
        </w:rPr>
        <w:t>плательщики</w:t>
      </w:r>
      <w:r>
        <w:t xml:space="preserve"> - плательщики налогов;</w:t>
      </w:r>
    </w:p>
    <w:p w:rsidR="007C326B" w:rsidRDefault="007C326B" w:rsidP="007C326B">
      <w:bookmarkStart w:id="9" w:name="sub_2010"/>
      <w:r>
        <w:rPr>
          <w:rStyle w:val="a3"/>
        </w:rPr>
        <w:t>социальные налоговые расходы Чебоксарского муниципального округа Чувашской Республики</w:t>
      </w:r>
      <w:r>
        <w:t xml:space="preserve"> - целевая категория налоговых расходов, обусловленных необходимостью обеспечения социальной защиты (поддержки) населения Чебоксарского муниципального округа Чувашской Республики,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7C326B" w:rsidRDefault="007C326B" w:rsidP="007C326B">
      <w:bookmarkStart w:id="10" w:name="sub_2011"/>
      <w:bookmarkEnd w:id="9"/>
      <w:r>
        <w:rPr>
          <w:rStyle w:val="a3"/>
        </w:rPr>
        <w:t>стимулирующие налоговые расходы Чебоксарского муниципального округа Чувашской Республики</w:t>
      </w:r>
      <w:r>
        <w:t xml:space="preserve">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Чебоксарского муниципального округа Чувашской Республики;</w:t>
      </w:r>
    </w:p>
    <w:p w:rsidR="007C326B" w:rsidRDefault="007C326B" w:rsidP="007C326B">
      <w:bookmarkStart w:id="11" w:name="sub_2012"/>
      <w:bookmarkEnd w:id="10"/>
      <w:r>
        <w:rPr>
          <w:rStyle w:val="a3"/>
        </w:rPr>
        <w:t>технические налоговые расходы Чебоксарского муниципального округа Чувашской Республики</w:t>
      </w:r>
      <w:r>
        <w:t xml:space="preserve">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bookmarkEnd w:id="11"/>
    <w:p w:rsidR="007C326B" w:rsidRDefault="007C326B" w:rsidP="007C326B">
      <w:r>
        <w:rPr>
          <w:rStyle w:val="a3"/>
        </w:rPr>
        <w:t>фискальные характеристики налоговых расходов Чебоксарского муниципального округа Чувашской Республики</w:t>
      </w:r>
      <w: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Чебоксарского муниципального округа Чувашской Республики;</w:t>
      </w:r>
    </w:p>
    <w:p w:rsidR="007C326B" w:rsidRDefault="007C326B" w:rsidP="007C326B">
      <w:r>
        <w:rPr>
          <w:rStyle w:val="a3"/>
        </w:rPr>
        <w:t>целевые характеристики налогового расхода Чебоксарского муниципального округа Чувашской Республики</w:t>
      </w:r>
      <w: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 Чебоксарского муниципального округа Чувашской Республики.</w:t>
      </w:r>
    </w:p>
    <w:p w:rsidR="007C326B" w:rsidRDefault="007C326B" w:rsidP="00197BA6">
      <w:bookmarkStart w:id="12" w:name="sub_300"/>
      <w:r>
        <w:t xml:space="preserve">3. </w:t>
      </w:r>
      <w:proofErr w:type="gramStart"/>
      <w:r>
        <w:t>Оценка налоговых расходов Чебоксарского муниципального округа Чувашской Республики осуществляется кураторами налоговых расходов Чебоксарского муниципального округа Чувашской Республики в соответствии с перечнем налоговых расходов Чебоксарского муниципального округа Чувашской Республики на основе информации Управления Федеральной налоговой службы по Чувашской Республике (далее - УФНС России по Чувашской Республике) о фискальных характеристиках налоговых расходов Чебоксарского муниципального округа Чувашской Республики за отчетный финансовый год, а также</w:t>
      </w:r>
      <w:proofErr w:type="gramEnd"/>
      <w:r>
        <w:t xml:space="preserve"> информации о стимулирующих налоговых расходах Чебоксарского муниципального округа Чувашской Республики за 6 лет, предшествующих отчетному финансовому году.</w:t>
      </w:r>
    </w:p>
    <w:bookmarkEnd w:id="12"/>
    <w:p w:rsidR="007C326B" w:rsidRDefault="007C326B" w:rsidP="00197BA6"/>
    <w:p w:rsidR="007C326B" w:rsidRDefault="007C326B" w:rsidP="00197BA6">
      <w:pPr>
        <w:pStyle w:val="1"/>
        <w:spacing w:before="0" w:after="0"/>
      </w:pPr>
      <w:bookmarkStart w:id="13" w:name="sub_1002"/>
      <w:r>
        <w:t>II. Формирование информации о нормативных, целевых и фискальных характеристиках налоговых расходов Чебоксарского муниципального округа Чувашской Республики</w:t>
      </w:r>
    </w:p>
    <w:bookmarkEnd w:id="13"/>
    <w:p w:rsidR="007C326B" w:rsidRDefault="007C326B" w:rsidP="00197BA6"/>
    <w:p w:rsidR="007C326B" w:rsidRDefault="007C326B" w:rsidP="00197BA6">
      <w:bookmarkStart w:id="14" w:name="sub_400"/>
      <w:r>
        <w:t xml:space="preserve">4. Кураторы налоговых расходов Чебоксарского муниципального округа Чувашской Республики формируют </w:t>
      </w:r>
      <w:r w:rsidRPr="00101B53">
        <w:t xml:space="preserve">информацию о нормативных, целевых и фискальных характеристиках налоговых расходов согласно </w:t>
      </w:r>
      <w:hyperlink w:anchor="sub_1100" w:history="1">
        <w:r w:rsidRPr="00101B53">
          <w:rPr>
            <w:rStyle w:val="a4"/>
            <w:color w:val="auto"/>
          </w:rPr>
          <w:t>приложению</w:t>
        </w:r>
      </w:hyperlink>
      <w:r>
        <w:t xml:space="preserve"> к настоящему Порядку.</w:t>
      </w:r>
    </w:p>
    <w:bookmarkEnd w:id="14"/>
    <w:p w:rsidR="007C326B" w:rsidRDefault="007C326B" w:rsidP="00197BA6"/>
    <w:p w:rsidR="007C326B" w:rsidRDefault="007C326B" w:rsidP="00197BA6">
      <w:pPr>
        <w:pStyle w:val="1"/>
        <w:spacing w:before="0" w:after="0"/>
      </w:pPr>
      <w:bookmarkStart w:id="15" w:name="sub_1003"/>
      <w:r>
        <w:t>III. Оценка эффективности налоговых расходов Чебоксарского муниципального округа Чувашской Республики</w:t>
      </w:r>
    </w:p>
    <w:bookmarkEnd w:id="15"/>
    <w:p w:rsidR="007C326B" w:rsidRDefault="007C326B" w:rsidP="00197BA6"/>
    <w:p w:rsidR="007C326B" w:rsidRDefault="007C326B" w:rsidP="00197BA6">
      <w:bookmarkStart w:id="16" w:name="sub_500"/>
      <w:r>
        <w:t>5. В целях проведения оценки эффективности налоговых расходов Чебоксарского муниципального округа Чувашской Республики:</w:t>
      </w:r>
    </w:p>
    <w:p w:rsidR="007C326B" w:rsidRDefault="007C326B" w:rsidP="00197BA6">
      <w:bookmarkStart w:id="17" w:name="sub_51"/>
      <w:bookmarkEnd w:id="16"/>
      <w:r>
        <w:t>а) финансов</w:t>
      </w:r>
      <w:r w:rsidR="00101B53">
        <w:t xml:space="preserve">ый отдел </w:t>
      </w:r>
      <w:r>
        <w:t>администрации Чебоксарского муниципального округа Чувашской Республики в 202</w:t>
      </w:r>
      <w:r w:rsidR="00101B53">
        <w:t>3</w:t>
      </w:r>
      <w:r>
        <w:t xml:space="preserve"> году в согласованные сроки, а в последующие годы - до 1 марта формирует и направляет в УФНС России по Чувашской Республике сведения о категориях </w:t>
      </w:r>
      <w:proofErr w:type="gramStart"/>
      <w:r>
        <w:t>плательщиков</w:t>
      </w:r>
      <w:proofErr w:type="gramEnd"/>
      <w:r>
        <w:t xml:space="preserve"> с указанием обусловливающих соответствующие налоговые расходы муниципальных правовых актов Чебоксарского муниципального округа Чувашской Республики, в том числе действовавших в отчетном году и в году, предшествующем отчетному году, и иную информацию, предусмотренную </w:t>
      </w:r>
      <w:hyperlink w:anchor="sub_1100" w:history="1">
        <w:r w:rsidRPr="00101B53">
          <w:rPr>
            <w:rStyle w:val="a4"/>
            <w:color w:val="auto"/>
          </w:rPr>
          <w:t>приложением</w:t>
        </w:r>
      </w:hyperlink>
      <w:r w:rsidRPr="00101B53">
        <w:t xml:space="preserve"> к</w:t>
      </w:r>
      <w:r>
        <w:t xml:space="preserve"> настоящему Порядку;</w:t>
      </w:r>
    </w:p>
    <w:p w:rsidR="007C326B" w:rsidRDefault="007C326B" w:rsidP="00197BA6">
      <w:bookmarkStart w:id="18" w:name="sub_52"/>
      <w:bookmarkEnd w:id="17"/>
      <w:proofErr w:type="gramStart"/>
      <w:r>
        <w:t xml:space="preserve">б) </w:t>
      </w:r>
      <w:r w:rsidR="00101B53">
        <w:t xml:space="preserve">финансовый отдел </w:t>
      </w:r>
      <w:r>
        <w:t>администрации Чебоксарского муниципального округа Чувашской Республики в 202</w:t>
      </w:r>
      <w:r w:rsidR="00101B53">
        <w:t>3</w:t>
      </w:r>
      <w:r>
        <w:t xml:space="preserve"> году в согласованные сроки, а в последующие годы - до 1 апреля получает от УФНС России по Чувашской Республике сведения за отчетный год и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</w:t>
      </w:r>
      <w:proofErr w:type="gramEnd"/>
      <w:r>
        <w:t xml:space="preserve"> текущего финансового года, </w:t>
      </w:r>
      <w:proofErr w:type="gramStart"/>
      <w:r>
        <w:t>содержащие</w:t>
      </w:r>
      <w:proofErr w:type="gramEnd"/>
      <w:r>
        <w:t>:</w:t>
      </w:r>
    </w:p>
    <w:bookmarkEnd w:id="18"/>
    <w:p w:rsidR="007C326B" w:rsidRDefault="007C326B" w:rsidP="00197BA6">
      <w:r>
        <w:t>сведения о количестве плательщиков, воспользовавшихся льготами;</w:t>
      </w:r>
    </w:p>
    <w:p w:rsidR="007C326B" w:rsidRDefault="007C326B" w:rsidP="00197BA6">
      <w:r>
        <w:t>сведения о суммах выпадающих доходов бюджета Чебоксарского муниципального округа Чувашской Республики по каждому налоговому расходу;</w:t>
      </w:r>
    </w:p>
    <w:p w:rsidR="007C326B" w:rsidRDefault="007C326B" w:rsidP="00197BA6">
      <w:r>
        <w:t>сведения об объемах налогов, задекларированных для уплаты плательщиками в консолидированный бюджет Чувашской Республики по каждому налоговому расходу, в отношении стимулирующих налоговых расходов;</w:t>
      </w:r>
    </w:p>
    <w:p w:rsidR="007C326B" w:rsidRDefault="007C326B" w:rsidP="00197BA6">
      <w:bookmarkStart w:id="19" w:name="sub_53"/>
      <w:r>
        <w:t xml:space="preserve">в) </w:t>
      </w:r>
      <w:r w:rsidR="009E6E7F">
        <w:t xml:space="preserve">финансовый отдел </w:t>
      </w:r>
      <w:r>
        <w:t>администрации Чебоксарского муниципального округа Чувашской Республики в 202</w:t>
      </w:r>
      <w:r w:rsidR="009E6E7F">
        <w:t>3</w:t>
      </w:r>
      <w:r>
        <w:t xml:space="preserve"> году до </w:t>
      </w:r>
      <w:r w:rsidR="00473752">
        <w:t>30</w:t>
      </w:r>
      <w:r>
        <w:t xml:space="preserve"> </w:t>
      </w:r>
      <w:r w:rsidR="001C48C7">
        <w:t>июня</w:t>
      </w:r>
      <w:r>
        <w:t>, а в последующие годы - до 10 апреля доводит до кураторов налоговых расходов Чебоксарского муниципального округа Чувашской Республики сведения, полученные от УФНС России по Чувашской Республике.</w:t>
      </w:r>
    </w:p>
    <w:p w:rsidR="007C326B" w:rsidRDefault="007C326B" w:rsidP="007C326B">
      <w:bookmarkStart w:id="20" w:name="sub_600"/>
      <w:bookmarkEnd w:id="19"/>
      <w:r>
        <w:t xml:space="preserve">6. Оценка налоговых расходов Чебоксарского муниципального округа Чувашской Республики проводится кураторами налоговых расходов Чебоксарского муниципального округа Чувашской Республики. Результаты оценки (с отражением показателей, указанных в </w:t>
      </w:r>
      <w:hyperlink w:anchor="sub_1100" w:history="1">
        <w:r>
          <w:rPr>
            <w:rStyle w:val="a4"/>
          </w:rPr>
          <w:t>приложении</w:t>
        </w:r>
      </w:hyperlink>
      <w:r>
        <w:t xml:space="preserve"> к настоящему Порядку) с приложением аналитической записки по проведенным расчетам и пояснения (обоснования) выводов, сделанных на основании данных расчетов, ежегодно до 25 мая направляются ими в </w:t>
      </w:r>
      <w:r w:rsidR="009E6E7F">
        <w:t xml:space="preserve">финансовый отдел </w:t>
      </w:r>
      <w:r>
        <w:t>администрации Чебоксарского муниципального округа Чувашской Республики.</w:t>
      </w:r>
    </w:p>
    <w:p w:rsidR="007C326B" w:rsidRDefault="007C326B" w:rsidP="007C326B">
      <w:bookmarkStart w:id="21" w:name="sub_700"/>
      <w:bookmarkEnd w:id="20"/>
      <w:r>
        <w:t xml:space="preserve">7. </w:t>
      </w:r>
      <w:r w:rsidR="00665CE4">
        <w:t>Ф</w:t>
      </w:r>
      <w:r w:rsidR="009E6E7F">
        <w:t xml:space="preserve">инансовый отдел </w:t>
      </w:r>
      <w:r>
        <w:t xml:space="preserve">администрации Чебоксарского муниципального округа Чувашской Республики ежегодно до 1 октября размещает информацию о результатах ежегодной оценки эффективности налоговых расходов Чебоксарского муниципального округа Чувашской Республики на </w:t>
      </w:r>
      <w:hyperlink r:id="rId15" w:history="1">
        <w:r w:rsidRPr="009E6E7F">
          <w:rPr>
            <w:rStyle w:val="a4"/>
            <w:color w:val="auto"/>
          </w:rPr>
          <w:t>официальном сайте</w:t>
        </w:r>
      </w:hyperlink>
      <w:r>
        <w:t xml:space="preserve"> администрации Чебоксарского муниципального округа Чувашской Республики в информаци</w:t>
      </w:r>
      <w:r w:rsidR="009E6E7F">
        <w:t>онно-телекоммуникационной сети «</w:t>
      </w:r>
      <w:r>
        <w:t>Интернет</w:t>
      </w:r>
      <w:r w:rsidR="009E6E7F">
        <w:t>»</w:t>
      </w:r>
      <w:r>
        <w:t>.</w:t>
      </w:r>
    </w:p>
    <w:p w:rsidR="007C326B" w:rsidRDefault="007C326B" w:rsidP="007C326B">
      <w:bookmarkStart w:id="22" w:name="sub_800"/>
      <w:bookmarkEnd w:id="21"/>
      <w:r>
        <w:t>8. Оценка эффективности налоговых расходов Чебоксарского муниципального округа Чувашской Республики осуществляется кураторами налоговых расходов Чебоксарского муниципального округа Чувашской Республики и включает в себя:</w:t>
      </w:r>
    </w:p>
    <w:p w:rsidR="007C326B" w:rsidRDefault="007C326B" w:rsidP="007C326B">
      <w:bookmarkStart w:id="23" w:name="sub_81"/>
      <w:bookmarkEnd w:id="22"/>
      <w:r>
        <w:t>а) оценку целесообразности налоговых расходов;</w:t>
      </w:r>
    </w:p>
    <w:p w:rsidR="007C326B" w:rsidRDefault="007C326B" w:rsidP="007C326B">
      <w:bookmarkStart w:id="24" w:name="sub_82"/>
      <w:bookmarkEnd w:id="23"/>
      <w:r>
        <w:t>б) оценку результативности налоговых расходов.</w:t>
      </w:r>
    </w:p>
    <w:p w:rsidR="007C326B" w:rsidRDefault="007C326B" w:rsidP="007C326B">
      <w:bookmarkStart w:id="25" w:name="sub_900"/>
      <w:bookmarkEnd w:id="24"/>
      <w:r>
        <w:t>9. Критериями целесообразности налоговых расходов являются:</w:t>
      </w:r>
    </w:p>
    <w:p w:rsidR="007C326B" w:rsidRDefault="007C326B" w:rsidP="007C326B">
      <w:bookmarkStart w:id="26" w:name="sub_9002"/>
      <w:bookmarkEnd w:id="25"/>
      <w:r>
        <w:t>соответствие налоговых расходов целям муниципальных программ Чебоксарского муниципального округа Чувашской Республики и (или) целям социально-экономического развития Чебоксарского муниципального округа Чувашской Республики, не относящимся к муниципальным программам Чебоксарского муниципального округа Чувашской Республики;</w:t>
      </w:r>
    </w:p>
    <w:p w:rsidR="007C326B" w:rsidRDefault="007C326B" w:rsidP="007C326B">
      <w:bookmarkStart w:id="27" w:name="sub_9003"/>
      <w:bookmarkEnd w:id="26"/>
      <w:r>
        <w:t xml:space="preserve">востребованность плательщиками предоставленных льгот, </w:t>
      </w:r>
      <w:proofErr w:type="gramStart"/>
      <w:r>
        <w:t>которая</w:t>
      </w:r>
      <w:proofErr w:type="gramEnd"/>
      <w: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7C326B" w:rsidRDefault="007C326B" w:rsidP="007C326B">
      <w:bookmarkStart w:id="28" w:name="sub_9004"/>
      <w:bookmarkEnd w:id="27"/>
      <w: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7C326B" w:rsidRDefault="007C326B" w:rsidP="007C326B">
      <w:bookmarkStart w:id="29" w:name="sub_10"/>
      <w:bookmarkEnd w:id="28"/>
      <w:r>
        <w:t xml:space="preserve">10. В случае несоответствия налоговых расходов хотя бы одному из критериев, указанных в </w:t>
      </w:r>
      <w:hyperlink w:anchor="sub_900" w:history="1">
        <w:r w:rsidRPr="009E6E7F">
          <w:rPr>
            <w:rStyle w:val="a4"/>
            <w:color w:val="auto"/>
          </w:rPr>
          <w:t>пункте 9</w:t>
        </w:r>
      </w:hyperlink>
      <w:r w:rsidRPr="009E6E7F">
        <w:t xml:space="preserve"> </w:t>
      </w:r>
      <w:r>
        <w:t xml:space="preserve">настоящего Порядка, куратор налоговых расходов Чебоксарского муниципального округа Чувашской Республики представляет в </w:t>
      </w:r>
      <w:r w:rsidR="007E1C25">
        <w:t xml:space="preserve">финансовый отдел </w:t>
      </w:r>
      <w:r>
        <w:t>администрации Чебоксарского муниципального округа Чувашской Республики предложения о сохранении (уточнении, отмене) льгот для плательщиков.</w:t>
      </w:r>
    </w:p>
    <w:p w:rsidR="007C326B" w:rsidRDefault="007C326B" w:rsidP="007C326B">
      <w:bookmarkStart w:id="30" w:name="sub_11"/>
      <w:bookmarkEnd w:id="29"/>
      <w:r>
        <w:t xml:space="preserve">11. </w:t>
      </w:r>
      <w:proofErr w:type="gramStart"/>
      <w:r>
        <w:t>В качестве критерия результативности налоговых расходов кураторами налоговых расходов Чебоксарского муниципального округа Чувашской Республики используется как минимум один показатель (индикатор) достижения целей муниципальных программ Чебоксарского муниципального округа Чувашской Республики и (или) целей социально-экономического развития Чебоксарского муниципального округа Чувашской Республики, не относящихся к муниципальным программам Чебоксарского муниципального округа Чувашской Республики, либо иной показатель (индикатор), на значение которого оказывают влияние налоговые расходы.</w:t>
      </w:r>
      <w:proofErr w:type="gramEnd"/>
    </w:p>
    <w:bookmarkEnd w:id="30"/>
    <w:p w:rsidR="007C326B" w:rsidRDefault="007C326B" w:rsidP="007C326B">
      <w:proofErr w:type="gramStart"/>
      <w:r>
        <w:t>Оценке подлежит вклад предусмотренных для плательщиков льгот в изменение значения показателя (индикатора) достижения целей муниципальных программ Чебоксарского муниципального округа Чувашской Республики и (или) целей социально-экономического развития Чебоксарского муниципального округа Чувашской Республики, не относящихся к муниципальным программам Чебоксарского муниципального округа Чувашской Республики,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</w:t>
      </w:r>
      <w:proofErr w:type="gramEnd"/>
      <w:r>
        <w:t xml:space="preserve"> льгот.</w:t>
      </w:r>
    </w:p>
    <w:p w:rsidR="007C326B" w:rsidRDefault="007C326B" w:rsidP="007C326B">
      <w:bookmarkStart w:id="31" w:name="sub_12"/>
      <w:r>
        <w:t>12. Оценка результативности налоговых расходов Чебоксарского муниципального округа Чувашской Республики включает в себя оценку бюджетной эффективности налоговых расходов.</w:t>
      </w:r>
    </w:p>
    <w:p w:rsidR="007C326B" w:rsidRDefault="007C326B" w:rsidP="007C326B">
      <w:bookmarkStart w:id="32" w:name="sub_13"/>
      <w:bookmarkEnd w:id="31"/>
      <w:r>
        <w:t xml:space="preserve">13. </w:t>
      </w:r>
      <w:proofErr w:type="gramStart"/>
      <w:r>
        <w:t>В целях проведения оценки бюджетной эффективности налоговых расходов кураторами налоговых расходов Чебоксарского муниципального округа Чувашской Республики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Чебоксарского муниципального округа Чувашской Республики и (или) целей социально-экономического развития Чебоксарского муниципального округа Чувашской Республики, не относящихся к муниципальным программам Чебоксарского муниципального округа Чувашской Республики (далее - сравнительный анализ), а</w:t>
      </w:r>
      <w:proofErr w:type="gramEnd"/>
      <w:r>
        <w:t xml:space="preserve"> также оценка совокупного бюджетного эффекта (самоокупаемости) стимулирующих налоговых расходов.</w:t>
      </w:r>
    </w:p>
    <w:p w:rsidR="007C326B" w:rsidRDefault="007C326B" w:rsidP="007C326B">
      <w:bookmarkStart w:id="33" w:name="sub_131"/>
      <w:bookmarkEnd w:id="32"/>
      <w:r>
        <w:t>13.1. При необходимости куратором налогового расхода могут быть установлены дополнительные критерии оценки бюджетной эффективности налогового расхода Чебоксарского муниципального округа Чувашской Республики.</w:t>
      </w:r>
    </w:p>
    <w:p w:rsidR="007C326B" w:rsidRDefault="007C326B" w:rsidP="007C326B">
      <w:bookmarkStart w:id="34" w:name="sub_14"/>
      <w:bookmarkEnd w:id="33"/>
      <w:r>
        <w:t xml:space="preserve">14. </w:t>
      </w:r>
      <w:proofErr w:type="gramStart"/>
      <w:r>
        <w:t>Сравнительный анализ включает в себя сравнение объемов расходов бюджета Чебоксарского муниципального округа Чувашской Республики в случае применения альтернативных механизмов достижения целей муниципальной программы Чебоксарского муниципального округа Чувашской Республики и (или) целей социально-экономического развития Чебоксарского муниципального округа Чувашской Республики, не относящихся к муниципальным программам Чебоксарского муниципального округа Чувашской Республики, и объемов предоставленных льгот посредством определения кураторами налоговых расходов Чебоксарского муниципального округа</w:t>
      </w:r>
      <w:proofErr w:type="gramEnd"/>
      <w:r>
        <w:t xml:space="preserve"> </w:t>
      </w:r>
      <w:proofErr w:type="gramStart"/>
      <w:r>
        <w:t>Чувашской Республики прироста значения показателя (индикатора) достижения целей муниципальной программы Чебоксарского муниципального округа Чувашской Республики и (или) целей социально-экономического развития Чебоксарского муниципального округа Чувашской Республики, не относящихся к муниципальным программам Чебоксарского муниципального округа Чувашской Республики, на 1 рубль налоговых расходов Чебоксарского муниципального округа Чувашской Республики и на 1 рубль расходов бюджета Чебоксарского муниципального округа Чувашской Республики для достижения того же</w:t>
      </w:r>
      <w:proofErr w:type="gramEnd"/>
      <w:r>
        <w:t xml:space="preserve"> значения показателя (индикатора) в случае применения альтернативных механизмов.</w:t>
      </w:r>
    </w:p>
    <w:bookmarkEnd w:id="34"/>
    <w:p w:rsidR="007C326B" w:rsidRDefault="007C326B" w:rsidP="007C326B">
      <w:r>
        <w:t>В качестве альтернативных механизмов достижения целей муниципальной программы Чебоксарского муниципального округа Чувашской Республики и (или) целей социально-экономического развития Чебоксарского муниципального округа Чувашской Республики, не относящихся к муниципальным программам Чебоксарского муниципального округа Чувашской Республики, учитываются:</w:t>
      </w:r>
    </w:p>
    <w:p w:rsidR="007C326B" w:rsidRDefault="007C326B" w:rsidP="007C326B">
      <w:bookmarkStart w:id="35" w:name="sub_141"/>
      <w:r>
        <w:t>а) субсидии или иные формы непосредственной финансовой поддержки плательщиков, имеющих право на льготы, предоставляемые за счет средств бюджета Чебоксарского муниципального округа Чувашской Республики;</w:t>
      </w:r>
    </w:p>
    <w:p w:rsidR="007C326B" w:rsidRDefault="007C326B" w:rsidP="007C326B">
      <w:bookmarkStart w:id="36" w:name="sub_142"/>
      <w:bookmarkEnd w:id="35"/>
      <w:r>
        <w:t>б) предоставление муниципальных гарантий Чебоксарского муниципального округа Чувашской Республики по обязательствам плательщиков, имеющих право на льготы;</w:t>
      </w:r>
    </w:p>
    <w:p w:rsidR="007C326B" w:rsidRDefault="007C326B" w:rsidP="007C326B">
      <w:bookmarkStart w:id="37" w:name="sub_143"/>
      <w:bookmarkEnd w:id="36"/>
      <w: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7C326B" w:rsidRDefault="007C326B" w:rsidP="007C326B">
      <w:bookmarkStart w:id="38" w:name="sub_9005"/>
      <w:bookmarkEnd w:id="37"/>
      <w:r>
        <w:t>14.1. Оценку результативности налоговых расходов Чебоксарского муниципального округа Чувашской Республики допускается не проводить в отношении технических налоговых расходов Чебоксарского муниципального округа Чувашской Республики.</w:t>
      </w:r>
    </w:p>
    <w:p w:rsidR="007C326B" w:rsidRDefault="007C326B" w:rsidP="007C326B">
      <w:bookmarkStart w:id="39" w:name="sub_15"/>
      <w:bookmarkEnd w:id="38"/>
      <w:r>
        <w:t xml:space="preserve">15. В целях оценки бюджетной эффективности стимулирующих налоговых расходов одновременно со сравнительным анализом кураторами налоговых расходов Чебоксарского муниципального округа Чувашской Республики рассчитывается оценка совокупного бюджетного эффекта (самоокупаемости) указанных налоговых расходов в соответствии </w:t>
      </w:r>
      <w:r w:rsidRPr="007E1C25">
        <w:t xml:space="preserve">с </w:t>
      </w:r>
      <w:hyperlink w:anchor="sub_16" w:history="1">
        <w:r w:rsidRPr="007E1C25">
          <w:rPr>
            <w:rStyle w:val="a4"/>
            <w:color w:val="auto"/>
          </w:rPr>
          <w:t>пунктом 16</w:t>
        </w:r>
      </w:hyperlink>
      <w:r>
        <w:t xml:space="preserve"> настоящего Порядка. Значение оценки совокупного бюджетного эффекта (самоокупаемости) стимулирующих налоговых расходов является одним из критериев результативности налоговых расходов.</w:t>
      </w:r>
    </w:p>
    <w:bookmarkEnd w:id="39"/>
    <w:p w:rsidR="007C326B" w:rsidRDefault="007C326B" w:rsidP="007C326B">
      <w:r>
        <w:t>Оценка совокупного бюджетного эффекта (самоокупаемости) стимулирующих налоговых расходов определяется кураторами налоговых расходов Чебоксарского муниципального округа Чувашской Республики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7C326B" w:rsidRDefault="007C326B" w:rsidP="007C326B">
      <w:bookmarkStart w:id="40" w:name="sub_16"/>
      <w:r>
        <w:t>16.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по следующей формуле:</w:t>
      </w:r>
    </w:p>
    <w:bookmarkEnd w:id="40"/>
    <w:p w:rsidR="007C326B" w:rsidRDefault="007C326B" w:rsidP="007C326B"/>
    <w:p w:rsidR="007C326B" w:rsidRDefault="007C326B" w:rsidP="007C326B">
      <w:r>
        <w:rPr>
          <w:noProof/>
        </w:rPr>
        <w:drawing>
          <wp:inline distT="0" distB="0" distL="0" distR="0" wp14:anchorId="7B43CF96" wp14:editId="737FB46F">
            <wp:extent cx="2212975" cy="68135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7C326B" w:rsidRDefault="007C326B" w:rsidP="007C326B"/>
    <w:p w:rsidR="007C326B" w:rsidRDefault="007C326B" w:rsidP="007C326B">
      <w:r>
        <w:t>где:</w:t>
      </w:r>
    </w:p>
    <w:p w:rsidR="007C326B" w:rsidRDefault="007C326B" w:rsidP="007C326B">
      <w:r>
        <w:t>Е - оценка совокупного бюджетного эффекта (самоокупаемости) стимулирующих налоговых расходов;</w:t>
      </w:r>
    </w:p>
    <w:p w:rsidR="007C326B" w:rsidRDefault="007C326B" w:rsidP="007C326B">
      <w:r>
        <w:rPr>
          <w:noProof/>
        </w:rPr>
        <w:drawing>
          <wp:inline distT="0" distB="0" distL="0" distR="0" wp14:anchorId="053A0BC7" wp14:editId="1EE271BD">
            <wp:extent cx="157480" cy="23304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7C326B" w:rsidRDefault="007C326B" w:rsidP="007C326B">
      <w:r>
        <w:t>i - порядковый номер i-</w:t>
      </w:r>
      <w:proofErr w:type="spellStart"/>
      <w:r>
        <w:t>го</w:t>
      </w:r>
      <w:proofErr w:type="spellEnd"/>
      <w:r>
        <w:t xml:space="preserve"> года, имеющий значение от 1 до 5;</w:t>
      </w:r>
    </w:p>
    <w:p w:rsidR="007C326B" w:rsidRDefault="007C326B" w:rsidP="007C326B">
      <w:r>
        <w:rPr>
          <w:noProof/>
        </w:rPr>
        <w:drawing>
          <wp:inline distT="0" distB="0" distL="0" distR="0" wp14:anchorId="70322C16" wp14:editId="4FD22C52">
            <wp:extent cx="203835" cy="26797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плательщиков, воспользовавшихся льготой в i-м году;</w:t>
      </w:r>
    </w:p>
    <w:p w:rsidR="007C326B" w:rsidRDefault="007C326B" w:rsidP="007C326B">
      <w:r>
        <w:t xml:space="preserve">j - порядковый номер плательщика, имеющий значение от 1 до </w:t>
      </w:r>
      <w:r>
        <w:rPr>
          <w:noProof/>
        </w:rPr>
        <w:drawing>
          <wp:inline distT="0" distB="0" distL="0" distR="0" wp14:anchorId="4CFB2805" wp14:editId="5A3B26AD">
            <wp:extent cx="203835" cy="26797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7C326B" w:rsidRDefault="007C326B" w:rsidP="007C326B">
      <w:r>
        <w:rPr>
          <w:noProof/>
        </w:rPr>
        <w:drawing>
          <wp:inline distT="0" distB="0" distL="0" distR="0" wp14:anchorId="2A47930A" wp14:editId="16E0B875">
            <wp:extent cx="244475" cy="26797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налогов, задекларированных для уплаты в консолидированный бюджет Чувашской Республики j-м плательщиком в i-м году.</w:t>
      </w:r>
    </w:p>
    <w:p w:rsidR="007C326B" w:rsidRDefault="007C326B" w:rsidP="007C326B">
      <w:proofErr w:type="gramStart"/>
      <w:r>
        <w:t>При определении объема налогов, задекларированных для уплаты в консолидированный бюджет Чувашской Республики 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  <w:proofErr w:type="gramEnd"/>
    </w:p>
    <w:p w:rsidR="007C326B" w:rsidRDefault="007C326B" w:rsidP="007C326B">
      <w: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консолидированный бюджет Чувашской Республики, оцениваются (прогнозируются) по данным кураторов налоговых расходов Чувашской Республики;</w:t>
      </w:r>
    </w:p>
    <w:p w:rsidR="007C326B" w:rsidRDefault="007C326B" w:rsidP="007C326B">
      <w:r>
        <w:rPr>
          <w:noProof/>
        </w:rPr>
        <w:drawing>
          <wp:inline distT="0" distB="0" distL="0" distR="0" wp14:anchorId="46112177" wp14:editId="1A3DBE94">
            <wp:extent cx="233045" cy="26797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базовый объем налогов, задекларированных для уплаты в консолидированный бюджет Чувашской Республики j-м плательщиком в базовом году;</w:t>
      </w:r>
    </w:p>
    <w:p w:rsidR="007C326B" w:rsidRDefault="007C326B" w:rsidP="007C326B">
      <w:r>
        <w:rPr>
          <w:noProof/>
        </w:rPr>
        <w:drawing>
          <wp:inline distT="0" distB="0" distL="0" distR="0" wp14:anchorId="4DC50044" wp14:editId="19A81C01">
            <wp:extent cx="157480" cy="26797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номинальный темп </w:t>
      </w:r>
      <w:proofErr w:type="gramStart"/>
      <w:r>
        <w:t>прироста налоговых доходов консолидированных бюджетов субъектов Российской Федерации</w:t>
      </w:r>
      <w:proofErr w:type="gramEnd"/>
      <w:r>
        <w:t xml:space="preserve"> в i-м году по отношению к показателям базового года.</w:t>
      </w:r>
    </w:p>
    <w:p w:rsidR="007C326B" w:rsidRDefault="007C326B" w:rsidP="007C326B">
      <w:proofErr w:type="gramStart"/>
      <w:r>
        <w:t xml:space="preserve">В соответствии </w:t>
      </w:r>
      <w:r w:rsidRPr="007E1C25">
        <w:t xml:space="preserve">с </w:t>
      </w:r>
      <w:hyperlink r:id="rId23" w:history="1">
        <w:r w:rsidRPr="007E1C25">
          <w:rPr>
            <w:rStyle w:val="a4"/>
            <w:color w:val="auto"/>
          </w:rPr>
          <w:t>Общими требованиями</w:t>
        </w:r>
      </w:hyperlink>
      <w:r w:rsidRPr="007E1C25">
        <w:t xml:space="preserve"> к оценке налоговых расходов субъектов Российской Федерации и муниципальных образований, утвержденными </w:t>
      </w:r>
      <w:hyperlink r:id="rId24" w:history="1">
        <w:r w:rsidRPr="007E1C25">
          <w:rPr>
            <w:rStyle w:val="a4"/>
            <w:color w:val="auto"/>
          </w:rPr>
          <w:t>постановлением</w:t>
        </w:r>
      </w:hyperlink>
      <w:r w:rsidRPr="007E1C25">
        <w:t xml:space="preserve"> Правительства Российской Федерации от 22 июня 2019 года </w:t>
      </w:r>
      <w:r w:rsidR="007E1C25">
        <w:t>№</w:t>
      </w:r>
      <w:r w:rsidRPr="007E1C25">
        <w:t xml:space="preserve"> 796, номинальный </w:t>
      </w:r>
      <w:r>
        <w:t>темп прироста налоговых доходов консолидированных бюджетов субъектов Российской Федерации определяется Министерством финансов Российской Федерации и доводится до субъектов Российской Федерации не позднее 1 мая текущего финансового года;</w:t>
      </w:r>
      <w:proofErr w:type="gramEnd"/>
    </w:p>
    <w:p w:rsidR="007C326B" w:rsidRDefault="007C326B" w:rsidP="007C326B">
      <w:r>
        <w:t>r - расчетная стоимость среднесрочных рыночных заимствований Чебоксарского муниципального округа Чувашской Республики.</w:t>
      </w:r>
    </w:p>
    <w:p w:rsidR="007C326B" w:rsidRDefault="007C326B" w:rsidP="007C326B">
      <w:bookmarkStart w:id="41" w:name="sub_17"/>
      <w:r>
        <w:t>17. Базовый объем налогов, задекларированных для уплаты в консолидированный бюджет Чувашской Республики j-м плательщиком в базовом году, рассчитывается по следующей формуле:</w:t>
      </w:r>
    </w:p>
    <w:bookmarkEnd w:id="41"/>
    <w:p w:rsidR="007C326B" w:rsidRDefault="007C326B" w:rsidP="007C326B"/>
    <w:p w:rsidR="007C326B" w:rsidRDefault="007C326B" w:rsidP="007C326B">
      <w:r>
        <w:rPr>
          <w:noProof/>
        </w:rPr>
        <w:drawing>
          <wp:inline distT="0" distB="0" distL="0" distR="0" wp14:anchorId="0622DFFE" wp14:editId="02F7D537">
            <wp:extent cx="932180" cy="267970"/>
            <wp:effectExtent l="0" t="0" r="127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7C326B" w:rsidRDefault="007C326B" w:rsidP="007C326B"/>
    <w:p w:rsidR="007C326B" w:rsidRDefault="007C326B" w:rsidP="007C326B">
      <w:r>
        <w:t>где:</w:t>
      </w:r>
    </w:p>
    <w:p w:rsidR="007C326B" w:rsidRDefault="007C326B" w:rsidP="007C326B">
      <w:r>
        <w:rPr>
          <w:noProof/>
        </w:rPr>
        <w:drawing>
          <wp:inline distT="0" distB="0" distL="0" distR="0" wp14:anchorId="78BB4C75" wp14:editId="44712E86">
            <wp:extent cx="233045" cy="26797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базовый объем налогов, задекларированных для уплаты в консолидированный бюджет Чувашской Республики j-м плательщиком в базовом году;</w:t>
      </w:r>
    </w:p>
    <w:p w:rsidR="007C326B" w:rsidRDefault="007C326B" w:rsidP="007C326B">
      <w:r>
        <w:rPr>
          <w:noProof/>
        </w:rPr>
        <w:drawing>
          <wp:inline distT="0" distB="0" distL="0" distR="0" wp14:anchorId="4512AB90" wp14:editId="784C87D4">
            <wp:extent cx="279400" cy="26797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налогов, задекларированных для уплаты в консолидированный бюджет Чувашской Республики j-м плательщиком в базовом году;</w:t>
      </w:r>
    </w:p>
    <w:p w:rsidR="007C326B" w:rsidRDefault="007C326B" w:rsidP="007C326B">
      <w:r>
        <w:rPr>
          <w:noProof/>
        </w:rPr>
        <w:drawing>
          <wp:inline distT="0" distB="0" distL="0" distR="0" wp14:anchorId="2B03CC06" wp14:editId="4BB6CD55">
            <wp:extent cx="233045" cy="26797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объем льгот, предоставленных j-</w:t>
      </w:r>
      <w:proofErr w:type="spellStart"/>
      <w:r>
        <w:t>му</w:t>
      </w:r>
      <w:proofErr w:type="spellEnd"/>
      <w:r>
        <w:t xml:space="preserve"> плательщику в базовом году.</w:t>
      </w:r>
    </w:p>
    <w:p w:rsidR="007C326B" w:rsidRDefault="007C326B" w:rsidP="007C326B">
      <w:r>
        <w:t>Под базовым годом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7C326B" w:rsidRDefault="007C326B" w:rsidP="007C326B">
      <w:bookmarkStart w:id="42" w:name="sub_18"/>
      <w:r>
        <w:t>18. Расчетная стоимость среднесрочных рыночных заимствований Чебоксарского муниципального округа Чувашской Республики рассчитывается по следующей формуле:</w:t>
      </w:r>
    </w:p>
    <w:bookmarkEnd w:id="42"/>
    <w:p w:rsidR="007C326B" w:rsidRDefault="007C326B" w:rsidP="007C326B"/>
    <w:p w:rsidR="007C326B" w:rsidRDefault="007C326B" w:rsidP="007C326B">
      <w:r>
        <w:rPr>
          <w:noProof/>
        </w:rPr>
        <w:drawing>
          <wp:inline distT="0" distB="0" distL="0" distR="0" wp14:anchorId="3228769C" wp14:editId="555B1FA1">
            <wp:extent cx="989965" cy="2679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7C326B" w:rsidRDefault="007C326B" w:rsidP="007C326B"/>
    <w:p w:rsidR="007C326B" w:rsidRDefault="007C326B" w:rsidP="007C326B">
      <w:r>
        <w:t>где:</w:t>
      </w:r>
    </w:p>
    <w:p w:rsidR="007C326B" w:rsidRDefault="007C326B" w:rsidP="007C326B">
      <w:r>
        <w:t>r - расчетная стоимость среднесрочных рыночных заимствований Чебоксарского муниципального округа Чувашской Республики;</w:t>
      </w:r>
    </w:p>
    <w:p w:rsidR="007C326B" w:rsidRDefault="007C326B" w:rsidP="007C326B">
      <w:r>
        <w:rPr>
          <w:noProof/>
        </w:rPr>
        <w:drawing>
          <wp:inline distT="0" distB="0" distL="0" distR="0" wp14:anchorId="12AEAE66" wp14:editId="52652BB6">
            <wp:extent cx="291465" cy="267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целевой уровень инфляции (4,0 процента);</w:t>
      </w:r>
    </w:p>
    <w:p w:rsidR="007C326B" w:rsidRDefault="007C326B" w:rsidP="007C326B">
      <w:r>
        <w:t>p - реальная процентная ставка, определяемая на уровне 2,5 процента;</w:t>
      </w:r>
    </w:p>
    <w:p w:rsidR="007C326B" w:rsidRDefault="007C326B" w:rsidP="007C326B">
      <w:proofErr w:type="gramStart"/>
      <w:r>
        <w:t>c - кредитная премия за риск, рассчитываемая для целей Порядка в зависимости от отношения объема муниципального долга Чебоксарского муниципального округа Чувашской Республики по состоянию на 1 января текущего финансового года к объему налоговых и неналоговых доходов бюджета Чебоксарского муниципального округа Чувашской Республики за отчетный период (в случае если указанное отношение составляет менее 50,0 процента, кредитная премия за риск принимается равной 1,0</w:t>
      </w:r>
      <w:proofErr w:type="gramEnd"/>
      <w:r>
        <w:t xml:space="preserve"> процента; в случае если указанное отношение составляет от 50,0 до 100,0 процента, кредитная премия за риск принимается </w:t>
      </w:r>
      <w:proofErr w:type="gramStart"/>
      <w:r>
        <w:t>равной</w:t>
      </w:r>
      <w:proofErr w:type="gramEnd"/>
      <w:r>
        <w:t xml:space="preserve"> 2,0 процента; в случае если указанное отношение составляет более 100,0 процента, кредитная премия за риск принимается равной 3,0 процента).</w:t>
      </w:r>
    </w:p>
    <w:p w:rsidR="007C326B" w:rsidRDefault="007C326B" w:rsidP="007C326B">
      <w:bookmarkStart w:id="43" w:name="sub_19"/>
      <w:r>
        <w:t xml:space="preserve">19. </w:t>
      </w:r>
      <w:proofErr w:type="gramStart"/>
      <w:r>
        <w:t>По итогам оценки эффективности налоговых расходов Чебоксарского муниципального округа Чувашской Республики кураторы налоговых расходов Чебоксарского муниципального округа Чувашской Республики формируют выводы о достижении целевых характеристик налогового расхода Чебоксарского муниципального округа Чувашской Республики, вкладе налогового расхода в достижение целей муниципальной программы Чебоксарского муниципального округа Чувашской Республики и (или) целей социально-экономического развития Чебоксарского муниципального округа Чувашской Республики, не относящихся к муниципальным программам</w:t>
      </w:r>
      <w:proofErr w:type="gramEnd"/>
      <w:r>
        <w:t xml:space="preserve"> </w:t>
      </w:r>
      <w:proofErr w:type="gramStart"/>
      <w:r>
        <w:t>Чебоксарского муниципального округа Чувашской Республики, а также о наличии или об отсутствии более результативных (менее затратных для бюджета Чебоксарского муниципального округа Чувашской Республики) альтернативных механизмов достижения целей муниципальной программы Чебоксарского муниципального округа Чувашской Республики и (или) целей социально-экономического развития Чебоксарского муниципального округа Чувашской Республики, не относящихся к муниципальным программам Чебоксарского муниципального округа Чувашской Республики.</w:t>
      </w:r>
      <w:proofErr w:type="gramEnd"/>
    </w:p>
    <w:bookmarkEnd w:id="43"/>
    <w:p w:rsidR="007C326B" w:rsidRDefault="007C326B" w:rsidP="00197BA6">
      <w:r>
        <w:t xml:space="preserve">Выводы о результатах оценки эффективности налогового расхода представляются в </w:t>
      </w:r>
      <w:r w:rsidR="007E1C25">
        <w:t xml:space="preserve">финансовый отдел </w:t>
      </w:r>
      <w:r>
        <w:t>администрации Чебоксарского муниципального округа Чувашской Республики в сроки, установленные</w:t>
      </w:r>
      <w:r w:rsidRPr="007E1C25">
        <w:t xml:space="preserve"> </w:t>
      </w:r>
      <w:hyperlink w:anchor="sub_600" w:history="1">
        <w:r w:rsidRPr="007E1C25">
          <w:rPr>
            <w:rStyle w:val="a4"/>
            <w:color w:val="auto"/>
          </w:rPr>
          <w:t>пунктом 6</w:t>
        </w:r>
      </w:hyperlink>
      <w:r>
        <w:t xml:space="preserve"> настоящего Порядка.</w:t>
      </w:r>
    </w:p>
    <w:p w:rsidR="007C326B" w:rsidRDefault="007C326B" w:rsidP="00197BA6"/>
    <w:p w:rsidR="007C326B" w:rsidRDefault="007C326B" w:rsidP="00197BA6">
      <w:pPr>
        <w:pStyle w:val="1"/>
        <w:spacing w:before="0" w:after="0"/>
      </w:pPr>
      <w:bookmarkStart w:id="44" w:name="sub_1004"/>
      <w:r>
        <w:t>IV. Обобщение результатов оценки эффективности налоговых расходов Чебоксарского муниципального округа Чувашской Республики</w:t>
      </w:r>
    </w:p>
    <w:bookmarkEnd w:id="44"/>
    <w:p w:rsidR="007C326B" w:rsidRDefault="007C326B" w:rsidP="00197BA6"/>
    <w:p w:rsidR="007C326B" w:rsidRDefault="007C326B" w:rsidP="00197BA6">
      <w:bookmarkStart w:id="45" w:name="sub_20"/>
      <w:r>
        <w:t xml:space="preserve">20. </w:t>
      </w:r>
      <w:r w:rsidR="001C48C7">
        <w:t>Ф</w:t>
      </w:r>
      <w:r w:rsidR="007E1C25">
        <w:t xml:space="preserve">инансовый отдел </w:t>
      </w:r>
      <w:r>
        <w:t>администрации Чебоксарского муниципального округа Чувашской Республики обобщает результаты оценки эффективности налоговых расходов Чебоксарского муниципального округа Чувашской Республики на основе данных, представленных кураторами налоговых расходов Чебоксарского муниципального округа Чувашской Республики, и направляет их в администрацию Чебоксарского муниципального округа Чувашской Республики ежегодно до 15 августа.</w:t>
      </w:r>
    </w:p>
    <w:p w:rsidR="007C326B" w:rsidRDefault="007C326B" w:rsidP="007C326B">
      <w:bookmarkStart w:id="46" w:name="sub_21"/>
      <w:bookmarkEnd w:id="45"/>
      <w:r>
        <w:t>21. Результаты оценки эффективности налоговых расходов Чебоксарского муниципального округа Чувашской Республики учитываются при формировании основных направлений бюджетной и налоговой политики Чебоксарского муниципального округа Чувашской Республики, а также при проведении оценки эффективности реализации муниципальных программ Чебоксарского муниципального округа Чувашской Республики.</w:t>
      </w:r>
    </w:p>
    <w:p w:rsidR="00197BA6" w:rsidRDefault="00197BA6" w:rsidP="005930B3">
      <w:pPr>
        <w:ind w:left="5670" w:firstLine="0"/>
        <w:jc w:val="center"/>
        <w:rPr>
          <w:rStyle w:val="a3"/>
          <w:b w:val="0"/>
        </w:rPr>
      </w:pPr>
      <w:bookmarkStart w:id="47" w:name="sub_1100"/>
      <w:bookmarkEnd w:id="46"/>
    </w:p>
    <w:p w:rsidR="00197BA6" w:rsidRDefault="00197BA6" w:rsidP="005930B3">
      <w:pPr>
        <w:ind w:left="5670" w:firstLine="0"/>
        <w:jc w:val="center"/>
        <w:rPr>
          <w:rStyle w:val="a3"/>
          <w:b w:val="0"/>
        </w:rPr>
      </w:pPr>
    </w:p>
    <w:p w:rsidR="00197BA6" w:rsidRDefault="00197BA6" w:rsidP="005930B3">
      <w:pPr>
        <w:ind w:left="5670" w:firstLine="0"/>
        <w:jc w:val="center"/>
        <w:rPr>
          <w:rStyle w:val="a3"/>
          <w:b w:val="0"/>
        </w:rPr>
      </w:pPr>
    </w:p>
    <w:p w:rsidR="007C326B" w:rsidRPr="005930B3" w:rsidRDefault="007C326B" w:rsidP="005930B3">
      <w:pPr>
        <w:ind w:left="5670" w:firstLine="0"/>
        <w:jc w:val="center"/>
        <w:rPr>
          <w:b/>
        </w:rPr>
      </w:pPr>
      <w:r w:rsidRPr="005930B3">
        <w:rPr>
          <w:rStyle w:val="a3"/>
          <w:b w:val="0"/>
        </w:rPr>
        <w:t>Приложение</w:t>
      </w:r>
      <w:r w:rsidRPr="005930B3">
        <w:rPr>
          <w:rStyle w:val="a3"/>
          <w:b w:val="0"/>
        </w:rPr>
        <w:br/>
        <w:t xml:space="preserve">к </w:t>
      </w:r>
      <w:hyperlink w:anchor="sub_1000" w:history="1">
        <w:r w:rsidRPr="005930B3">
          <w:rPr>
            <w:rStyle w:val="a4"/>
            <w:color w:val="auto"/>
          </w:rPr>
          <w:t>Порядку</w:t>
        </w:r>
      </w:hyperlink>
      <w:r w:rsidRPr="005930B3">
        <w:rPr>
          <w:rStyle w:val="a3"/>
          <w:color w:val="auto"/>
        </w:rPr>
        <w:t xml:space="preserve"> </w:t>
      </w:r>
      <w:r w:rsidRPr="005930B3">
        <w:rPr>
          <w:rStyle w:val="a3"/>
          <w:b w:val="0"/>
        </w:rPr>
        <w:t>оценки</w:t>
      </w:r>
      <w:r w:rsidRPr="005930B3">
        <w:rPr>
          <w:rStyle w:val="a3"/>
          <w:b w:val="0"/>
        </w:rPr>
        <w:br/>
        <w:t>налоговых расходов</w:t>
      </w:r>
      <w:r w:rsidRPr="005930B3">
        <w:rPr>
          <w:rStyle w:val="a3"/>
          <w:b w:val="0"/>
        </w:rPr>
        <w:br/>
        <w:t>Чебоксарского муниципального округа Чувашской Республики</w:t>
      </w:r>
    </w:p>
    <w:bookmarkEnd w:id="47"/>
    <w:p w:rsidR="007C326B" w:rsidRDefault="007C326B" w:rsidP="007C326B"/>
    <w:p w:rsidR="007C326B" w:rsidRDefault="007C326B" w:rsidP="007C326B">
      <w:pPr>
        <w:pStyle w:val="1"/>
      </w:pPr>
      <w:r>
        <w:t>Перечень</w:t>
      </w:r>
      <w:r>
        <w:br/>
        <w:t>показателей для проведения оценки эффективности налоговых расходов Чебоксарского муниципального округа Чувашской Республики</w:t>
      </w:r>
    </w:p>
    <w:p w:rsidR="007C326B" w:rsidRDefault="007C326B" w:rsidP="007C32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600"/>
        <w:gridCol w:w="3780"/>
      </w:tblGrid>
      <w:tr w:rsidR="007C326B" w:rsidTr="0089017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>Предоставляемая информация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>Источник данных</w:t>
            </w:r>
          </w:p>
        </w:tc>
      </w:tr>
      <w:tr w:rsidR="007C326B" w:rsidTr="0089017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>3</w:t>
            </w:r>
          </w:p>
        </w:tc>
      </w:tr>
      <w:tr w:rsidR="007C326B" w:rsidTr="00890178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326B" w:rsidRDefault="007C326B" w:rsidP="00890178">
            <w:pPr>
              <w:pStyle w:val="1"/>
            </w:pPr>
            <w:r>
              <w:t>I. Нормативные характеристики налоговых расходов Чебоксарского муниципального округа Чувашской Республики</w:t>
            </w:r>
          </w:p>
        </w:tc>
      </w:tr>
      <w:tr w:rsidR="007C326B" w:rsidTr="0089017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>1.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9"/>
            </w:pPr>
            <w:r>
              <w:t>Муниципальный правовой акт Чебоксарского муниципального округа Чувашской Республики (пункт, подпункт, абзац), предусматривающий налоговые льготы, освобождения и иные преференции по налогам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</w:tcBorders>
          </w:tcPr>
          <w:p w:rsidR="007C326B" w:rsidRDefault="007C326B" w:rsidP="00890178">
            <w:pPr>
              <w:pStyle w:val="a9"/>
            </w:pPr>
            <w:r>
              <w:t>перечень налоговых расходов Чебоксарского муниципального округа Чувашской Республики</w:t>
            </w:r>
          </w:p>
        </w:tc>
      </w:tr>
      <w:tr w:rsidR="007C326B" w:rsidTr="0089017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>2.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9"/>
            </w:pPr>
            <w:r>
              <w:t>Условия предоставления плательщикам налогов налоговых льгот, освобождений и иных преференций по налогам, установленных муниципальным правовым актом Чебоксарского муниципального округа Чувашской Республики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</w:tcBorders>
          </w:tcPr>
          <w:p w:rsidR="007C326B" w:rsidRDefault="007C326B" w:rsidP="00890178">
            <w:pPr>
              <w:pStyle w:val="a9"/>
            </w:pPr>
            <w:r>
              <w:t>перечень налоговых расходов Чебоксарского муниципального округа Чувашской Республики</w:t>
            </w:r>
          </w:p>
        </w:tc>
      </w:tr>
      <w:tr w:rsidR="007C326B" w:rsidTr="0089017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>3.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9"/>
            </w:pPr>
            <w:r>
              <w:t>Категория получателей налоговых льгот, освобождений и иных преференций по налогам, установленных муниципальным правовым актом Чебоксарского муниципального округа Чувашской Республики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</w:tcBorders>
          </w:tcPr>
          <w:p w:rsidR="007C326B" w:rsidRDefault="007C326B" w:rsidP="00890178">
            <w:pPr>
              <w:pStyle w:val="a9"/>
            </w:pPr>
            <w:r>
              <w:t>перечень налоговых расходов Чебоксарского муниципального округа Чувашской Республики</w:t>
            </w:r>
          </w:p>
        </w:tc>
      </w:tr>
      <w:tr w:rsidR="007C326B" w:rsidTr="0089017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>4.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9"/>
            </w:pPr>
            <w:r>
              <w:t>Даты вступления в силу положений муниципальных правовых актов Чебоксарского муниципального округа Чувашской Республики, устанавливающих налоговые льготы, освобождения и иные преференции по налогам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</w:tcBorders>
          </w:tcPr>
          <w:p w:rsidR="007C326B" w:rsidRDefault="00664889" w:rsidP="00890178">
            <w:pPr>
              <w:pStyle w:val="a9"/>
            </w:pPr>
            <w:r>
              <w:t xml:space="preserve">финансовый отдел </w:t>
            </w:r>
            <w:r w:rsidR="007C326B">
              <w:t>администрации Чебоксарского муниципального округа Чувашской Республики</w:t>
            </w:r>
          </w:p>
        </w:tc>
      </w:tr>
      <w:tr w:rsidR="007C326B" w:rsidTr="0089017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>5.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9"/>
            </w:pPr>
            <w:r>
              <w:t xml:space="preserve">Даты начала </w:t>
            </w:r>
            <w:proofErr w:type="gramStart"/>
            <w:r>
              <w:t>действия</w:t>
            </w:r>
            <w:proofErr w:type="gramEnd"/>
            <w:r>
              <w:t xml:space="preserve"> предоставленного муниципальным правовым актом Чебоксарского муниципального округа Чувашской Республики права на налоговые льготы, освобождения и иные преференции по налогам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</w:tcBorders>
          </w:tcPr>
          <w:p w:rsidR="007C326B" w:rsidRDefault="007C326B" w:rsidP="00890178">
            <w:pPr>
              <w:pStyle w:val="a9"/>
            </w:pPr>
            <w:r>
              <w:t>перечень налоговых расходов Чебоксарского муниципального округа Чувашской Республики</w:t>
            </w:r>
          </w:p>
        </w:tc>
      </w:tr>
      <w:tr w:rsidR="007C326B" w:rsidTr="0089017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>6.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9"/>
            </w:pPr>
            <w:r>
              <w:t>Период действия налоговых льгот, освобождений и иных преференций по налогам, установленных муниципальным правовым актом Чебоксарского муниципального округа Чувашской Республики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</w:tcBorders>
          </w:tcPr>
          <w:p w:rsidR="007C326B" w:rsidRDefault="00664889" w:rsidP="00890178">
            <w:pPr>
              <w:pStyle w:val="a9"/>
            </w:pPr>
            <w:r>
              <w:t xml:space="preserve">финансовый отдел </w:t>
            </w:r>
            <w:r w:rsidR="007C326B">
              <w:t>администрации Чебоксарского муниципального округа Чувашской Республики</w:t>
            </w:r>
          </w:p>
        </w:tc>
      </w:tr>
      <w:tr w:rsidR="007C326B" w:rsidTr="0089017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>7.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9"/>
            </w:pPr>
            <w:r>
              <w:t>Дата прекращения действия налоговых льгот, освобождений и иных преференций по налогам, установленных муниципальным правовым актом Чебоксарского муниципального округа Чувашской Республики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</w:tcBorders>
          </w:tcPr>
          <w:p w:rsidR="007C326B" w:rsidRDefault="007C326B" w:rsidP="00890178">
            <w:pPr>
              <w:pStyle w:val="a9"/>
            </w:pPr>
            <w:r>
              <w:t>перечень налоговых расходов Чебоксарского муниципального округа Чувашской Республики</w:t>
            </w:r>
          </w:p>
        </w:tc>
      </w:tr>
      <w:tr w:rsidR="007C326B" w:rsidTr="00890178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326B" w:rsidRDefault="007C326B" w:rsidP="00890178">
            <w:pPr>
              <w:pStyle w:val="1"/>
            </w:pPr>
            <w:r>
              <w:t>II. Целевые характеристики налоговых расходов Чувашской Республики</w:t>
            </w:r>
          </w:p>
        </w:tc>
      </w:tr>
      <w:tr w:rsidR="007C326B" w:rsidTr="0089017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>8.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9"/>
            </w:pPr>
            <w:r>
              <w:t>Наименование налоговых льгот, освобождений и иных преференций по налогам, установленных муниципальным правовым актом Чебоксарского муниципального округа Чувашской Республики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</w:tcBorders>
          </w:tcPr>
          <w:p w:rsidR="007C326B" w:rsidRDefault="007C326B" w:rsidP="00890178">
            <w:pPr>
              <w:pStyle w:val="a9"/>
            </w:pPr>
            <w:r>
              <w:t>перечень налоговых расходов Чебоксарского муниципального округа Чувашской Республики</w:t>
            </w:r>
          </w:p>
        </w:tc>
      </w:tr>
      <w:tr w:rsidR="007C326B" w:rsidTr="0089017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>9.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9"/>
            </w:pPr>
            <w:r>
              <w:t>Целевая категория налогового расхода Чебоксарского муниципального округа Чувашской Республики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</w:tcBorders>
          </w:tcPr>
          <w:p w:rsidR="007C326B" w:rsidRDefault="007C326B" w:rsidP="00890178">
            <w:pPr>
              <w:pStyle w:val="a9"/>
            </w:pPr>
            <w:r>
              <w:t>куратор налоговых расходов Чебоксарского муниципального округа Чувашской Республики</w:t>
            </w:r>
          </w:p>
        </w:tc>
      </w:tr>
      <w:tr w:rsidR="007C326B" w:rsidTr="0089017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>10.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9"/>
            </w:pPr>
            <w:r>
              <w:t>Цели предоставления налоговых льгот, освобождений и иных преференций для плательщиков налогов, установленных муниципальным правовым актом Чебоксарского муниципального округа Чувашской Республики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</w:tcBorders>
          </w:tcPr>
          <w:p w:rsidR="007C326B" w:rsidRDefault="007C326B" w:rsidP="00890178">
            <w:pPr>
              <w:pStyle w:val="a9"/>
            </w:pPr>
            <w:r>
              <w:t>куратор налоговых расходов Чебоксарского муниципального округа Чувашской Республики</w:t>
            </w:r>
          </w:p>
        </w:tc>
      </w:tr>
      <w:tr w:rsidR="007C326B" w:rsidTr="0089017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>11.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9"/>
            </w:pPr>
            <w:r>
              <w:t>Наименование налогов, по которым предусматриваются налоговые льготы, освобождения и иные преференции, установленные муниципальным правовым актом Чебоксарского муниципального округа Чувашской Республики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</w:tcBorders>
          </w:tcPr>
          <w:p w:rsidR="007C326B" w:rsidRDefault="007C326B" w:rsidP="00890178">
            <w:pPr>
              <w:pStyle w:val="a9"/>
            </w:pPr>
            <w:r>
              <w:t>перечень налоговых расходов Чебоксарского муниципального округа Чувашской Республики</w:t>
            </w:r>
          </w:p>
        </w:tc>
      </w:tr>
      <w:tr w:rsidR="007C326B" w:rsidTr="0089017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>12.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9"/>
            </w:pPr>
            <w: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</w:tcBorders>
          </w:tcPr>
          <w:p w:rsidR="007C326B" w:rsidRDefault="00664889" w:rsidP="00890178">
            <w:pPr>
              <w:pStyle w:val="a9"/>
            </w:pPr>
            <w:r>
              <w:t xml:space="preserve">финансовый отдел </w:t>
            </w:r>
            <w:r w:rsidR="007C326B">
              <w:t>администрации Чебоксарского муниципального округа Чувашской Республики</w:t>
            </w:r>
          </w:p>
        </w:tc>
      </w:tr>
      <w:tr w:rsidR="007C326B" w:rsidTr="0089017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>13.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9"/>
            </w:pPr>
            <w: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</w:tcBorders>
          </w:tcPr>
          <w:p w:rsidR="007C326B" w:rsidRDefault="00664889" w:rsidP="00890178">
            <w:pPr>
              <w:pStyle w:val="a9"/>
            </w:pPr>
            <w:r>
              <w:t xml:space="preserve">финансовый отдел </w:t>
            </w:r>
            <w:r w:rsidR="007C326B">
              <w:t>администрации Чебоксарского муниципального округа Чувашской Республики</w:t>
            </w:r>
          </w:p>
        </w:tc>
      </w:tr>
      <w:tr w:rsidR="007C326B" w:rsidTr="0089017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>14.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9"/>
            </w:pPr>
            <w:r>
              <w:t>Показатель (индикатор) достижения целей муниципальных программ Чебоксарского муниципального округа Чувашской Республики и (или) целей социально-экономического развития Чебоксарского муниципального округа Чувашской Республики, не относящихся к муниципальным программам Чебоксарского муниципального округа Чувашской Республики, в связи с предоставлением налоговых льгот, освобождений и иных преференций по налогам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</w:tcBorders>
          </w:tcPr>
          <w:p w:rsidR="007C326B" w:rsidRDefault="007C326B" w:rsidP="00890178">
            <w:pPr>
              <w:pStyle w:val="a9"/>
            </w:pPr>
            <w:r>
              <w:t>перечень налоговых расходов Чебоксарского муниципального округа Чувашской Республики</w:t>
            </w:r>
          </w:p>
        </w:tc>
      </w:tr>
      <w:tr w:rsidR="007C326B" w:rsidTr="0089017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>15.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26B" w:rsidRPr="00664889" w:rsidRDefault="007C326B" w:rsidP="00890178">
            <w:pPr>
              <w:pStyle w:val="a9"/>
            </w:pPr>
            <w:r w:rsidRPr="00664889">
              <w:t xml:space="preserve">Код вида экономической деятельности (по </w:t>
            </w:r>
            <w:hyperlink r:id="rId31" w:history="1">
              <w:r w:rsidRPr="00664889">
                <w:rPr>
                  <w:rStyle w:val="a4"/>
                  <w:color w:val="auto"/>
                </w:rPr>
                <w:t>ОКВЭД</w:t>
              </w:r>
            </w:hyperlink>
            <w:r w:rsidRPr="00664889">
              <w:t>), к которому относится налоговый расход Чебоксарского муниципального округа Чувашской Республики (если налоговый расход Чебоксарского муниципального округа Чувашской Республики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</w:tcBorders>
          </w:tcPr>
          <w:p w:rsidR="007C326B" w:rsidRDefault="007C326B" w:rsidP="00890178">
            <w:pPr>
              <w:pStyle w:val="a9"/>
            </w:pPr>
            <w:r>
              <w:t>куратор налоговых расходов Чебоксарского муниципального округа Чувашской Республики</w:t>
            </w:r>
          </w:p>
        </w:tc>
      </w:tr>
      <w:tr w:rsidR="007C326B" w:rsidTr="0089017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>16.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26B" w:rsidRPr="00664889" w:rsidRDefault="007C326B" w:rsidP="00664889">
            <w:pPr>
              <w:pStyle w:val="a9"/>
            </w:pPr>
            <w:r w:rsidRPr="00664889">
              <w:t xml:space="preserve">Принадлежность налоговых расходов Чебоксарского муниципального округа Чувашской Республики к группе полномочий в соответствии с </w:t>
            </w:r>
            <w:hyperlink r:id="rId32" w:history="1">
              <w:r w:rsidRPr="00664889">
                <w:rPr>
                  <w:rStyle w:val="a4"/>
                  <w:color w:val="auto"/>
                </w:rPr>
                <w:t>методикой</w:t>
              </w:r>
            </w:hyperlink>
            <w:r w:rsidRPr="00664889">
              <w:t xml:space="preserve"> распределения дотаций, утвержденной </w:t>
            </w:r>
            <w:hyperlink r:id="rId33" w:history="1">
              <w:r w:rsidRPr="00664889">
                <w:rPr>
                  <w:rStyle w:val="a4"/>
                  <w:color w:val="auto"/>
                </w:rPr>
                <w:t>постановлением</w:t>
              </w:r>
            </w:hyperlink>
            <w:r w:rsidRPr="00664889">
              <w:t xml:space="preserve"> Правительства Российской Федерации от 22 ноября 2004 г. </w:t>
            </w:r>
            <w:r w:rsidR="00664889">
              <w:t>№ 670 «</w:t>
            </w:r>
            <w:r w:rsidRPr="00664889">
              <w:t>О распределении дотаций на выравнивание бюджетной обеспеченности субъектов Россий</w:t>
            </w:r>
            <w:r w:rsidR="00664889">
              <w:t>ской Федерации»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</w:tcBorders>
          </w:tcPr>
          <w:p w:rsidR="007C326B" w:rsidRDefault="007C326B" w:rsidP="00890178">
            <w:pPr>
              <w:pStyle w:val="a9"/>
            </w:pPr>
            <w:r>
              <w:t>куратор налоговых расходов Чебоксарского муниципального округа Чувашской Республики</w:t>
            </w:r>
          </w:p>
        </w:tc>
      </w:tr>
      <w:tr w:rsidR="007C326B" w:rsidTr="00890178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326B" w:rsidRDefault="007C326B" w:rsidP="00890178">
            <w:pPr>
              <w:pStyle w:val="1"/>
            </w:pPr>
            <w:r>
              <w:t>III. Фискальные характеристики налоговых расходов Чувашской Республики</w:t>
            </w:r>
          </w:p>
        </w:tc>
      </w:tr>
      <w:tr w:rsidR="007C326B" w:rsidTr="0089017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bookmarkStart w:id="48" w:name="sub_1017"/>
            <w:r>
              <w:t>17.</w:t>
            </w:r>
            <w:bookmarkEnd w:id="48"/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9"/>
            </w:pPr>
            <w:r>
              <w:t>Объем налоговых льгот, освобождений и иных преференций, предоставленных для плательщиков налогов в соответствии с муниципальным правовым актом Чебоксарского муниципального округа Чувашской Республики, за отчетный год и за год, предшествующий отчетному году (тыс. рублей)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</w:tcBorders>
          </w:tcPr>
          <w:p w:rsidR="007C326B" w:rsidRDefault="007C326B" w:rsidP="00890178">
            <w:pPr>
              <w:pStyle w:val="a9"/>
            </w:pPr>
            <w:r>
              <w:t>УФНС России по Чувашской Республике</w:t>
            </w:r>
          </w:p>
        </w:tc>
      </w:tr>
      <w:tr w:rsidR="007C326B" w:rsidTr="0089017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>18.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9"/>
            </w:pPr>
            <w: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 рублей)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</w:tcBorders>
          </w:tcPr>
          <w:p w:rsidR="007C326B" w:rsidRDefault="007C326B" w:rsidP="00890178">
            <w:pPr>
              <w:pStyle w:val="a9"/>
            </w:pPr>
            <w:r>
              <w:t>куратор налоговых расходов Чебоксарского муниципального округа Чувашской Республики</w:t>
            </w:r>
          </w:p>
        </w:tc>
      </w:tr>
      <w:tr w:rsidR="007C326B" w:rsidTr="0089017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bookmarkStart w:id="49" w:name="sub_1019"/>
            <w:r>
              <w:t>19.</w:t>
            </w:r>
            <w:bookmarkEnd w:id="49"/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9"/>
            </w:pPr>
            <w:proofErr w:type="gramStart"/>
            <w: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 правовым актом Чебоксарского муниципального округа Чувашской Республики</w:t>
            </w:r>
            <w:proofErr w:type="gramEnd"/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</w:tcBorders>
          </w:tcPr>
          <w:p w:rsidR="007C326B" w:rsidRDefault="007C326B" w:rsidP="00890178">
            <w:pPr>
              <w:pStyle w:val="a9"/>
            </w:pPr>
            <w:r>
              <w:t>УФНС России по Чувашской Республике</w:t>
            </w:r>
          </w:p>
        </w:tc>
      </w:tr>
      <w:tr w:rsidR="007C326B" w:rsidTr="0089017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bookmarkStart w:id="50" w:name="sub_191"/>
            <w:r>
              <w:t>19.1.</w:t>
            </w:r>
            <w:bookmarkEnd w:id="50"/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9"/>
            </w:pPr>
            <w:r>
              <w:t>Общая численность плательщиков налогов (единиц)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</w:tcBorders>
          </w:tcPr>
          <w:p w:rsidR="007C326B" w:rsidRDefault="007C326B" w:rsidP="00890178">
            <w:pPr>
              <w:pStyle w:val="a9"/>
            </w:pPr>
            <w:r>
              <w:t>УФНС России по Чувашской Республике</w:t>
            </w:r>
          </w:p>
        </w:tc>
      </w:tr>
      <w:tr w:rsidR="007C326B" w:rsidTr="0089017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bookmarkStart w:id="51" w:name="sub_1020"/>
            <w:r>
              <w:t>20.</w:t>
            </w:r>
            <w:bookmarkEnd w:id="51"/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9"/>
            </w:pPr>
            <w:r>
              <w:t>Базовый объем налогов, задекларированный для уплаты в консолидированный бюджет Чувашской Республики плательщиками налогов, имеющими право на налоговые льготы, освобождения и иные преференции, установленные муниципальным правовым актом Чебоксарского муниципального округа Чувашской Республики (тыс. рублей)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</w:tcBorders>
          </w:tcPr>
          <w:p w:rsidR="007C326B" w:rsidRDefault="007C326B" w:rsidP="00890178">
            <w:pPr>
              <w:pStyle w:val="a9"/>
            </w:pPr>
            <w:r>
              <w:t>УФНС России по Чувашской Республике</w:t>
            </w:r>
          </w:p>
        </w:tc>
      </w:tr>
      <w:tr w:rsidR="007C326B" w:rsidTr="0089017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bookmarkStart w:id="52" w:name="sub_1021"/>
            <w:r>
              <w:t>21.</w:t>
            </w:r>
            <w:bookmarkEnd w:id="52"/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9"/>
            </w:pPr>
            <w:r>
              <w:t>Объем налогов, задекларированный для уплаты в консолидированный бюджет Чувашской Республики плательщиками налогов, имеющими право на налоговые льготы, освобождения и иные преференции, за 6 лет, предшествующих отчетному финансовому году (тыс. рублей)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</w:tcBorders>
          </w:tcPr>
          <w:p w:rsidR="007C326B" w:rsidRDefault="007C326B" w:rsidP="00890178">
            <w:pPr>
              <w:pStyle w:val="a9"/>
            </w:pPr>
            <w:r>
              <w:t>УФНС России по Чувашской Республике</w:t>
            </w:r>
          </w:p>
        </w:tc>
      </w:tr>
      <w:tr w:rsidR="007C326B" w:rsidTr="00890178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>22.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26B" w:rsidRDefault="007C326B" w:rsidP="00890178">
            <w:pPr>
              <w:pStyle w:val="a9"/>
            </w:pPr>
            <w:r>
              <w:t>Результат оценки эффективности налогового расхода Чебоксарского муниципального округа Чувашской Республики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</w:tcBorders>
          </w:tcPr>
          <w:p w:rsidR="007C326B" w:rsidRDefault="007C326B" w:rsidP="00890178">
            <w:pPr>
              <w:pStyle w:val="a9"/>
            </w:pPr>
            <w:r>
              <w:t>куратор налоговых расходов Чебоксарского муниципального округа Чувашской Республики</w:t>
            </w:r>
          </w:p>
        </w:tc>
      </w:tr>
      <w:tr w:rsidR="007C326B" w:rsidTr="00890178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326B" w:rsidRDefault="007C326B" w:rsidP="00890178">
            <w:pPr>
              <w:pStyle w:val="a7"/>
              <w:jc w:val="center"/>
            </w:pPr>
            <w:r>
              <w:t>23.</w:t>
            </w:r>
          </w:p>
        </w:tc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6B" w:rsidRDefault="007C326B" w:rsidP="00890178">
            <w:pPr>
              <w:pStyle w:val="a9"/>
            </w:pPr>
            <w:r>
              <w:t>Оценка совокупного бюджетного эффекта (для стимулирующих налоговых расходов Чебоксарского муниципального округа Чувашской Республики)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C326B" w:rsidRDefault="007C326B" w:rsidP="00890178">
            <w:pPr>
              <w:pStyle w:val="a9"/>
            </w:pPr>
            <w:r>
              <w:t>куратор налоговых расходов Чебоксарского муниципального округа Чувашской Республики</w:t>
            </w:r>
          </w:p>
        </w:tc>
      </w:tr>
    </w:tbl>
    <w:p w:rsidR="007C326B" w:rsidRDefault="007C326B" w:rsidP="007C326B"/>
    <w:p w:rsidR="007C326B" w:rsidRDefault="007C326B"/>
    <w:sectPr w:rsidR="007C326B" w:rsidSect="007C326B">
      <w:footerReference w:type="default" r:id="rId34"/>
      <w:pgSz w:w="11900" w:h="16800"/>
      <w:pgMar w:top="1276" w:right="56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7D" w:rsidRDefault="00FA047D">
      <w:r>
        <w:separator/>
      </w:r>
    </w:p>
  </w:endnote>
  <w:endnote w:type="continuationSeparator" w:id="0">
    <w:p w:rsidR="00FA047D" w:rsidRDefault="00FA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41" w:rsidRDefault="0087381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7D" w:rsidRDefault="00FA047D">
      <w:r>
        <w:separator/>
      </w:r>
    </w:p>
  </w:footnote>
  <w:footnote w:type="continuationSeparator" w:id="0">
    <w:p w:rsidR="00FA047D" w:rsidRDefault="00FA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CC"/>
    <w:rsid w:val="0007191D"/>
    <w:rsid w:val="000D7755"/>
    <w:rsid w:val="00101B53"/>
    <w:rsid w:val="001441DA"/>
    <w:rsid w:val="00154D2B"/>
    <w:rsid w:val="00184FA6"/>
    <w:rsid w:val="00197BA6"/>
    <w:rsid w:val="001C48C7"/>
    <w:rsid w:val="0020642E"/>
    <w:rsid w:val="002120BC"/>
    <w:rsid w:val="00225DB2"/>
    <w:rsid w:val="00257E1E"/>
    <w:rsid w:val="00292CFB"/>
    <w:rsid w:val="00386AB4"/>
    <w:rsid w:val="003A2239"/>
    <w:rsid w:val="00473752"/>
    <w:rsid w:val="00474F6E"/>
    <w:rsid w:val="005118CD"/>
    <w:rsid w:val="0051237B"/>
    <w:rsid w:val="005930B3"/>
    <w:rsid w:val="005B1181"/>
    <w:rsid w:val="006435A4"/>
    <w:rsid w:val="00644AEE"/>
    <w:rsid w:val="00664889"/>
    <w:rsid w:val="00665CE4"/>
    <w:rsid w:val="006A595A"/>
    <w:rsid w:val="0070373B"/>
    <w:rsid w:val="00756EF2"/>
    <w:rsid w:val="00782BA4"/>
    <w:rsid w:val="007C326B"/>
    <w:rsid w:val="007D3708"/>
    <w:rsid w:val="007E1C25"/>
    <w:rsid w:val="00873815"/>
    <w:rsid w:val="008C5C64"/>
    <w:rsid w:val="00911B8C"/>
    <w:rsid w:val="00981DEC"/>
    <w:rsid w:val="009907EA"/>
    <w:rsid w:val="009B3F7A"/>
    <w:rsid w:val="009E6E7F"/>
    <w:rsid w:val="00A030E6"/>
    <w:rsid w:val="00A418BE"/>
    <w:rsid w:val="00A547CD"/>
    <w:rsid w:val="00B14ADC"/>
    <w:rsid w:val="00B77551"/>
    <w:rsid w:val="00B876AD"/>
    <w:rsid w:val="00C0563A"/>
    <w:rsid w:val="00C079DF"/>
    <w:rsid w:val="00C93F41"/>
    <w:rsid w:val="00CB4E7C"/>
    <w:rsid w:val="00DE6E98"/>
    <w:rsid w:val="00E4016E"/>
    <w:rsid w:val="00E4080D"/>
    <w:rsid w:val="00E728CC"/>
    <w:rsid w:val="00F54A23"/>
    <w:rsid w:val="00FA047D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E728C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E728C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9907E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07E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8C5C6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8C5C64"/>
    <w:rPr>
      <w:color w:val="0000FF"/>
      <w:u w:val="single"/>
    </w:rPr>
  </w:style>
  <w:style w:type="paragraph" w:customStyle="1" w:styleId="s3">
    <w:name w:val="s_3"/>
    <w:basedOn w:val="a"/>
    <w:rsid w:val="006435A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6435A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6435A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6435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35A4"/>
    <w:rPr>
      <w:rFonts w:ascii="Courier New" w:eastAsia="Times New Roman" w:hAnsi="Courier New" w:cs="Courier New"/>
      <w:sz w:val="20"/>
      <w:szCs w:val="20"/>
    </w:rPr>
  </w:style>
  <w:style w:type="character" w:styleId="af4">
    <w:name w:val="Emphasis"/>
    <w:basedOn w:val="a0"/>
    <w:uiPriority w:val="20"/>
    <w:qFormat/>
    <w:rsid w:val="00C056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E728C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E728C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9907E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07E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8C5C6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8C5C64"/>
    <w:rPr>
      <w:color w:val="0000FF"/>
      <w:u w:val="single"/>
    </w:rPr>
  </w:style>
  <w:style w:type="paragraph" w:customStyle="1" w:styleId="s3">
    <w:name w:val="s_3"/>
    <w:basedOn w:val="a"/>
    <w:rsid w:val="006435A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6435A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6435A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6435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35A4"/>
    <w:rPr>
      <w:rFonts w:ascii="Courier New" w:eastAsia="Times New Roman" w:hAnsi="Courier New" w:cs="Courier New"/>
      <w:sz w:val="20"/>
      <w:szCs w:val="20"/>
    </w:rPr>
  </w:style>
  <w:style w:type="character" w:styleId="af4">
    <w:name w:val="Emphasis"/>
    <w:basedOn w:val="a0"/>
    <w:uiPriority w:val="20"/>
    <w:qFormat/>
    <w:rsid w:val="00C056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image" Target="media/image4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2278816/0" TargetMode="External"/><Relationship Id="rId17" Type="http://schemas.openxmlformats.org/officeDocument/2006/relationships/image" Target="media/image3.emf"/><Relationship Id="rId25" Type="http://schemas.openxmlformats.org/officeDocument/2006/relationships/image" Target="media/image9.emf"/><Relationship Id="rId33" Type="http://schemas.openxmlformats.org/officeDocument/2006/relationships/hyperlink" Target="http://internet.garant.ru/document/redirect/187556/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12604/1743" TargetMode="External"/><Relationship Id="rId24" Type="http://schemas.openxmlformats.org/officeDocument/2006/relationships/hyperlink" Target="http://internet.garant.ru/document/redirect/72278816/0" TargetMode="External"/><Relationship Id="rId32" Type="http://schemas.openxmlformats.org/officeDocument/2006/relationships/hyperlink" Target="http://internet.garant.ru/document/redirect/187556/1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7520999/1034" TargetMode="External"/><Relationship Id="rId23" Type="http://schemas.openxmlformats.org/officeDocument/2006/relationships/hyperlink" Target="http://internet.garant.ru/document/redirect/72278816/22" TargetMode="External"/><Relationship Id="rId28" Type="http://schemas.openxmlformats.org/officeDocument/2006/relationships/image" Target="media/image12.emf"/><Relationship Id="rId36" Type="http://schemas.openxmlformats.org/officeDocument/2006/relationships/theme" Target="theme/theme1.xml"/><Relationship Id="rId10" Type="http://schemas.openxmlformats.org/officeDocument/2006/relationships/hyperlink" Target="http://internet.garant.ru/document/redirect/73943609/0" TargetMode="External"/><Relationship Id="rId19" Type="http://schemas.openxmlformats.org/officeDocument/2006/relationships/image" Target="media/image5.emf"/><Relationship Id="rId31" Type="http://schemas.openxmlformats.org/officeDocument/2006/relationships/hyperlink" Target="http://internet.garant.ru/document/redirect/70650726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3488124/0" TargetMode="External"/><Relationship Id="rId22" Type="http://schemas.openxmlformats.org/officeDocument/2006/relationships/image" Target="media/image8.emf"/><Relationship Id="rId27" Type="http://schemas.openxmlformats.org/officeDocument/2006/relationships/image" Target="media/image11.emf"/><Relationship Id="rId30" Type="http://schemas.openxmlformats.org/officeDocument/2006/relationships/image" Target="media/image14.emf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B5848-841A-43A3-BAB6-DCD8DF7C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12BF20B3</Template>
  <TotalTime>1190</TotalTime>
  <Pages>1</Pages>
  <Words>4968</Words>
  <Characters>28323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Чеб. р-н Ахмерова Н.А.</cp:lastModifiedBy>
  <cp:revision>17</cp:revision>
  <cp:lastPrinted>2023-05-18T06:35:00Z</cp:lastPrinted>
  <dcterms:created xsi:type="dcterms:W3CDTF">2023-03-28T12:30:00Z</dcterms:created>
  <dcterms:modified xsi:type="dcterms:W3CDTF">2023-05-24T05:47:00Z</dcterms:modified>
</cp:coreProperties>
</file>