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Pr="00C677B1" w:rsidRDefault="00525338" w:rsidP="00B53FCA">
      <w:pPr>
        <w:tabs>
          <w:tab w:val="num" w:pos="0"/>
        </w:tabs>
        <w:ind w:firstLine="540"/>
        <w:jc w:val="right"/>
        <w:rPr>
          <w:b/>
          <w:sz w:val="32"/>
          <w:szCs w:val="32"/>
        </w:rPr>
      </w:pPr>
    </w:p>
    <w:tbl>
      <w:tblPr>
        <w:tblW w:w="0" w:type="auto"/>
        <w:tblLook w:val="04A0" w:firstRow="1" w:lastRow="0" w:firstColumn="1" w:lastColumn="0" w:noHBand="0" w:noVBand="1"/>
      </w:tblPr>
      <w:tblGrid>
        <w:gridCol w:w="4139"/>
        <w:gridCol w:w="1142"/>
        <w:gridCol w:w="4148"/>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7F34C288" wp14:editId="2617C788">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B77090"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14.11</w:t>
            </w:r>
            <w:r w:rsidR="00867AB3" w:rsidRPr="00867AB3">
              <w:rPr>
                <w:rFonts w:ascii="Times New Roman" w:eastAsia="Times New Roman" w:hAnsi="Times New Roman"/>
                <w:sz w:val="24"/>
                <w:szCs w:val="24"/>
                <w:lang w:eastAsia="ru-RU"/>
              </w:rPr>
              <w:t>.202</w:t>
            </w:r>
            <w:r w:rsidR="00E91075">
              <w:rPr>
                <w:rFonts w:ascii="Times New Roman" w:eastAsia="Times New Roman" w:hAnsi="Times New Roman"/>
                <w:sz w:val="24"/>
                <w:szCs w:val="24"/>
                <w:lang w:eastAsia="ru-RU"/>
              </w:rPr>
              <w:t>3</w:t>
            </w:r>
            <w:r w:rsidR="00867AB3" w:rsidRPr="00867A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856</w:t>
            </w:r>
            <w:r w:rsidR="00867AB3" w:rsidRPr="00867AB3">
              <w:rPr>
                <w:rFonts w:ascii="Times New Roman" w:eastAsia="Times New Roman" w:hAnsi="Times New Roman"/>
                <w:sz w:val="24"/>
                <w:szCs w:val="24"/>
                <w:lang w:eastAsia="ru-RU"/>
              </w:rPr>
              <w:t xml:space="preserve"> № </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B77090"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14.11</w:t>
            </w:r>
            <w:r w:rsidR="00E91075">
              <w:rPr>
                <w:rFonts w:ascii="Times New Roman" w:eastAsia="Times New Roman" w:hAnsi="Times New Roman"/>
                <w:sz w:val="24"/>
                <w:szCs w:val="24"/>
                <w:lang w:eastAsia="ru-RU"/>
              </w:rPr>
              <w:t>.2023</w:t>
            </w:r>
            <w:r w:rsidR="00867AB3" w:rsidRPr="00867AB3">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856</w:t>
            </w:r>
            <w:bookmarkStart w:id="0" w:name="_GoBack"/>
            <w:bookmarkEnd w:id="0"/>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B85AD7">
      <w:pPr>
        <w:spacing w:after="0"/>
        <w:ind w:firstLine="540"/>
        <w:jc w:val="both"/>
        <w:rPr>
          <w:rFonts w:ascii="Times New Roman" w:hAnsi="Times New Roman"/>
          <w:sz w:val="24"/>
          <w:szCs w:val="24"/>
        </w:rPr>
      </w:pPr>
      <w:r w:rsidRPr="00422DC0">
        <w:rPr>
          <w:rFonts w:ascii="Times New Roman" w:hAnsi="Times New Roman"/>
          <w:sz w:val="24"/>
          <w:szCs w:val="24"/>
        </w:rPr>
        <w:t>В соответствии с решением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w:t>
      </w:r>
      <w:r w:rsidR="004F3DAB">
        <w:rPr>
          <w:rFonts w:ascii="Times New Roman" w:hAnsi="Times New Roman"/>
          <w:sz w:val="24"/>
          <w:szCs w:val="24"/>
        </w:rPr>
        <w:t>с изменениями</w:t>
      </w:r>
      <w:r w:rsidRPr="00422DC0">
        <w:rPr>
          <w:rFonts w:ascii="Times New Roman" w:hAnsi="Times New Roman"/>
          <w:sz w:val="24"/>
          <w:szCs w:val="24"/>
        </w:rPr>
        <w:t>)</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367"/>
        <w:gridCol w:w="480"/>
        <w:gridCol w:w="6462"/>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E91075">
              <w:rPr>
                <w:rFonts w:ascii="Times New Roman" w:hAnsi="Times New Roman" w:cs="Times New Roman"/>
                <w:color w:val="000000"/>
                <w:sz w:val="24"/>
                <w:szCs w:val="24"/>
              </w:rPr>
              <w:t>10</w:t>
            </w:r>
            <w:r w:rsidR="005D5F28">
              <w:rPr>
                <w:rFonts w:ascii="Times New Roman" w:hAnsi="Times New Roman" w:cs="Times New Roman"/>
                <w:color w:val="000000"/>
                <w:sz w:val="24"/>
                <w:szCs w:val="24"/>
              </w:rPr>
              <w:t>5 472,7</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C677B1">
              <w:rPr>
                <w:rFonts w:ascii="Times New Roman" w:eastAsia="Times New Roman" w:hAnsi="Times New Roman"/>
                <w:color w:val="000000"/>
                <w:sz w:val="24"/>
                <w:szCs w:val="24"/>
              </w:rPr>
              <w:t>15 800,1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5D5F28">
              <w:rPr>
                <w:rFonts w:ascii="Times New Roman" w:eastAsia="Times New Roman" w:hAnsi="Times New Roman"/>
                <w:color w:val="000000"/>
                <w:sz w:val="24"/>
                <w:szCs w:val="24"/>
              </w:rPr>
              <w:t>20 000,9</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7 942,3</w:t>
            </w:r>
            <w:r w:rsidR="001C5C24">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7 963,7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822CEC">
              <w:rPr>
                <w:rFonts w:ascii="Times New Roman" w:eastAsia="Times New Roman" w:hAnsi="Times New Roman"/>
                <w:color w:val="000000"/>
                <w:sz w:val="24"/>
                <w:szCs w:val="24"/>
              </w:rPr>
              <w:t>12 425,6</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822CEC">
              <w:rPr>
                <w:rFonts w:ascii="Times New Roman" w:eastAsia="Times New Roman" w:hAnsi="Times New Roman"/>
                <w:color w:val="000000"/>
                <w:sz w:val="24"/>
                <w:szCs w:val="24"/>
              </w:rPr>
              <w:t>3 132,0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628,3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649,7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E91075">
              <w:rPr>
                <w:rFonts w:ascii="Times New Roman" w:eastAsia="Times New Roman" w:hAnsi="Times New Roman"/>
                <w:color w:val="000000"/>
                <w:sz w:val="24"/>
                <w:szCs w:val="24"/>
              </w:rPr>
              <w:t>1</w:t>
            </w:r>
            <w:r w:rsidR="005D5F28">
              <w:rPr>
                <w:rFonts w:ascii="Times New Roman" w:eastAsia="Times New Roman" w:hAnsi="Times New Roman"/>
                <w:color w:val="000000"/>
                <w:sz w:val="24"/>
                <w:szCs w:val="24"/>
              </w:rPr>
              <w:t>4 023,5</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2023 году – </w:t>
            </w:r>
            <w:r w:rsidR="005D5F28">
              <w:rPr>
                <w:rFonts w:ascii="Times New Roman" w:eastAsia="Times New Roman" w:hAnsi="Times New Roman"/>
                <w:color w:val="000000"/>
                <w:sz w:val="24"/>
                <w:szCs w:val="24"/>
              </w:rPr>
              <w:t>8 753,9</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79</w:t>
            </w:r>
            <w:r w:rsidR="005D5F28">
              <w:rPr>
                <w:rFonts w:ascii="Times New Roman" w:eastAsia="Times New Roman" w:hAnsi="Times New Roman"/>
                <w:color w:val="000000"/>
                <w:sz w:val="24"/>
                <w:szCs w:val="24"/>
              </w:rPr>
              <w:t> 023,6</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w:t>
            </w:r>
            <w:r w:rsidR="00C677B1">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w:t>
            </w:r>
            <w:r w:rsidR="005D5F28">
              <w:rPr>
                <w:rFonts w:ascii="Times New Roman" w:eastAsia="Times New Roman" w:hAnsi="Times New Roman"/>
                <w:color w:val="000000"/>
                <w:sz w:val="24"/>
                <w:szCs w:val="24"/>
              </w:rPr>
              <w:t> </w:t>
            </w:r>
            <w:r w:rsidR="00822CEC">
              <w:rPr>
                <w:rFonts w:ascii="Times New Roman" w:eastAsia="Times New Roman" w:hAnsi="Times New Roman"/>
                <w:color w:val="000000"/>
                <w:sz w:val="24"/>
                <w:szCs w:val="24"/>
              </w:rPr>
              <w:t>1</w:t>
            </w:r>
            <w:r w:rsidR="005D5F28">
              <w:rPr>
                <w:rFonts w:ascii="Times New Roman" w:eastAsia="Times New Roman" w:hAnsi="Times New Roman"/>
                <w:color w:val="000000"/>
                <w:sz w:val="24"/>
                <w:szCs w:val="24"/>
              </w:rPr>
              <w:t>15,0</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677B1">
        <w:rPr>
          <w:rFonts w:ascii="Times New Roman" w:hAnsi="Times New Roman" w:cs="Times New Roman"/>
          <w:color w:val="000000"/>
          <w:sz w:val="24"/>
          <w:szCs w:val="24"/>
        </w:rPr>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w:t>
      </w:r>
      <w:r w:rsidR="00E91075">
        <w:rPr>
          <w:rFonts w:ascii="Times New Roman" w:hAnsi="Times New Roman" w:cs="Times New Roman"/>
          <w:color w:val="000000"/>
          <w:sz w:val="24"/>
          <w:szCs w:val="24"/>
        </w:rPr>
        <w:t>2</w:t>
      </w:r>
      <w:r w:rsidR="00A608B3" w:rsidRPr="00A608B3">
        <w:rPr>
          <w:rFonts w:ascii="Times New Roman" w:hAnsi="Times New Roman" w:cs="Times New Roman"/>
          <w:color w:val="000000"/>
          <w:sz w:val="24"/>
          <w:szCs w:val="24"/>
        </w:rPr>
        <w:t xml:space="preserve">.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10</w:t>
      </w:r>
      <w:r w:rsidR="005D5F28">
        <w:rPr>
          <w:rFonts w:ascii="Times New Roman" w:hAnsi="Times New Roman" w:cs="Times New Roman"/>
          <w:color w:val="000000"/>
          <w:sz w:val="24"/>
          <w:szCs w:val="24"/>
        </w:rPr>
        <w:t>5 472,7</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822CEC">
        <w:rPr>
          <w:rFonts w:ascii="Times New Roman" w:hAnsi="Times New Roman" w:cs="Times New Roman"/>
          <w:color w:val="000000"/>
          <w:sz w:val="24"/>
          <w:szCs w:val="24"/>
        </w:rPr>
        <w:t>12 425,6</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9A522E">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w:t>
      </w:r>
      <w:r w:rsidR="005D5F28">
        <w:rPr>
          <w:rFonts w:ascii="Times New Roman" w:hAnsi="Times New Roman" w:cs="Times New Roman"/>
          <w:color w:val="000000"/>
          <w:sz w:val="24"/>
          <w:szCs w:val="24"/>
        </w:rPr>
        <w:t>4 023,5</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9A522E">
        <w:rPr>
          <w:rFonts w:ascii="Times New Roman" w:hAnsi="Times New Roman" w:cs="Times New Roman"/>
          <w:color w:val="000000"/>
          <w:sz w:val="24"/>
          <w:szCs w:val="24"/>
        </w:rPr>
        <w:t>7</w:t>
      </w:r>
      <w:r w:rsidR="00E91075">
        <w:rPr>
          <w:rFonts w:ascii="Times New Roman" w:hAnsi="Times New Roman" w:cs="Times New Roman"/>
          <w:color w:val="000000"/>
          <w:sz w:val="24"/>
          <w:szCs w:val="24"/>
        </w:rPr>
        <w:t>9</w:t>
      </w:r>
      <w:r w:rsidR="005D5F28">
        <w:rPr>
          <w:rFonts w:ascii="Times New Roman" w:hAnsi="Times New Roman" w:cs="Times New Roman"/>
          <w:color w:val="000000"/>
          <w:sz w:val="24"/>
          <w:szCs w:val="24"/>
        </w:rPr>
        <w:t> </w:t>
      </w:r>
      <w:r w:rsidR="00822CEC">
        <w:rPr>
          <w:rFonts w:ascii="Times New Roman" w:hAnsi="Times New Roman" w:cs="Times New Roman"/>
          <w:color w:val="000000"/>
          <w:sz w:val="24"/>
          <w:szCs w:val="24"/>
        </w:rPr>
        <w:t>0</w:t>
      </w:r>
      <w:r w:rsidR="005D5F28">
        <w:rPr>
          <w:rFonts w:ascii="Times New Roman" w:hAnsi="Times New Roman" w:cs="Times New Roman"/>
          <w:color w:val="000000"/>
          <w:sz w:val="24"/>
          <w:szCs w:val="24"/>
        </w:rPr>
        <w:t>23,6</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5D5F28">
        <w:rPr>
          <w:rFonts w:ascii="Times New Roman" w:eastAsia="Times New Roman" w:hAnsi="Times New Roman"/>
          <w:color w:val="000000"/>
          <w:sz w:val="24"/>
          <w:szCs w:val="24"/>
          <w:lang w:eastAsia="ru-RU"/>
        </w:rPr>
        <w:t>51 707,0</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AA781D">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1</w:t>
      </w:r>
      <w:r w:rsidR="009A522E">
        <w:rPr>
          <w:rFonts w:ascii="Times New Roman" w:eastAsia="Times New Roman" w:hAnsi="Times New Roman"/>
          <w:color w:val="000000"/>
          <w:sz w:val="24"/>
          <w:szCs w:val="24"/>
        </w:rPr>
        <w:t>5 800,1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5D5F28">
        <w:rPr>
          <w:rFonts w:ascii="Times New Roman" w:eastAsia="Times New Roman" w:hAnsi="Times New Roman"/>
          <w:color w:val="000000"/>
          <w:sz w:val="24"/>
          <w:szCs w:val="24"/>
        </w:rPr>
        <w:t>20 000,9</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7 942,3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7 963,7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7 345,8</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2 935,8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822CEC">
        <w:rPr>
          <w:rFonts w:ascii="Times New Roman" w:eastAsia="Times New Roman" w:hAnsi="Times New Roman"/>
          <w:color w:val="000000"/>
          <w:sz w:val="24"/>
          <w:szCs w:val="24"/>
        </w:rPr>
        <w:t>3 132,0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628,3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649,7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1</w:t>
      </w:r>
      <w:r w:rsidR="005D5F28">
        <w:rPr>
          <w:rFonts w:ascii="Times New Roman" w:eastAsia="Times New Roman" w:hAnsi="Times New Roman"/>
          <w:color w:val="000000"/>
          <w:sz w:val="24"/>
          <w:szCs w:val="24"/>
          <w:lang w:eastAsia="ru-RU"/>
        </w:rPr>
        <w:t>4 023,5</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5 269,6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5D5F28">
        <w:rPr>
          <w:rFonts w:ascii="Times New Roman" w:eastAsia="Times New Roman" w:hAnsi="Times New Roman"/>
          <w:color w:val="000000"/>
          <w:sz w:val="24"/>
          <w:szCs w:val="24"/>
        </w:rPr>
        <w:t>8 753,9</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30</w:t>
      </w:r>
      <w:r w:rsidR="005D5F28">
        <w:rPr>
          <w:rFonts w:ascii="Times New Roman" w:eastAsia="Times New Roman" w:hAnsi="Times New Roman"/>
          <w:color w:val="000000"/>
          <w:sz w:val="24"/>
          <w:szCs w:val="24"/>
        </w:rPr>
        <w:t> </w:t>
      </w:r>
      <w:r w:rsidR="00822CEC">
        <w:rPr>
          <w:rFonts w:ascii="Times New Roman" w:eastAsia="Times New Roman" w:hAnsi="Times New Roman"/>
          <w:color w:val="000000"/>
          <w:sz w:val="24"/>
          <w:szCs w:val="24"/>
        </w:rPr>
        <w:t>3</w:t>
      </w:r>
      <w:r w:rsidR="005D5F28">
        <w:rPr>
          <w:rFonts w:ascii="Times New Roman" w:eastAsia="Times New Roman" w:hAnsi="Times New Roman"/>
          <w:color w:val="000000"/>
          <w:sz w:val="24"/>
          <w:szCs w:val="24"/>
        </w:rPr>
        <w:t>37,7</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8C3ACB">
        <w:rPr>
          <w:rFonts w:ascii="Times New Roman" w:eastAsia="Times New Roman" w:hAnsi="Times New Roman"/>
          <w:color w:val="000000"/>
          <w:sz w:val="24"/>
          <w:szCs w:val="24"/>
        </w:rPr>
        <w:t>7</w:t>
      </w:r>
      <w:r w:rsidR="009A522E">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w:t>
      </w:r>
      <w:r w:rsidR="005D5F28">
        <w:rPr>
          <w:rFonts w:ascii="Times New Roman" w:eastAsia="Times New Roman" w:hAnsi="Times New Roman"/>
          <w:color w:val="000000"/>
          <w:sz w:val="24"/>
          <w:szCs w:val="24"/>
        </w:rPr>
        <w:t> </w:t>
      </w:r>
      <w:r w:rsidR="00822CEC">
        <w:rPr>
          <w:rFonts w:ascii="Times New Roman" w:eastAsia="Times New Roman" w:hAnsi="Times New Roman"/>
          <w:color w:val="000000"/>
          <w:sz w:val="24"/>
          <w:szCs w:val="24"/>
        </w:rPr>
        <w:t>1</w:t>
      </w:r>
      <w:r w:rsidR="005D5F28">
        <w:rPr>
          <w:rFonts w:ascii="Times New Roman" w:eastAsia="Times New Roman" w:hAnsi="Times New Roman"/>
          <w:color w:val="000000"/>
          <w:sz w:val="24"/>
          <w:szCs w:val="24"/>
        </w:rPr>
        <w:t>15,0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roofErr w:type="gramStart"/>
      <w:r w:rsidRPr="00CD53F7">
        <w:rPr>
          <w:rFonts w:ascii="Times New Roman" w:hAnsi="Times New Roman" w:cs="Times New Roman"/>
          <w:color w:val="000000"/>
          <w:sz w:val="24"/>
          <w:szCs w:val="24"/>
        </w:rPr>
        <w:t>.</w:t>
      </w:r>
      <w:r w:rsidR="009163D6">
        <w:rPr>
          <w:rFonts w:ascii="Times New Roman" w:hAnsi="Times New Roman" w:cs="Times New Roman"/>
          <w:color w:val="000000"/>
          <w:sz w:val="24"/>
          <w:szCs w:val="24"/>
        </w:rPr>
        <w:t>».</w:t>
      </w:r>
      <w:proofErr w:type="gramEnd"/>
    </w:p>
    <w:p w:rsidR="00AA781D" w:rsidRPr="00690D0B" w:rsidRDefault="00AA781D" w:rsidP="00AA78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1A2EAD">
        <w:rPr>
          <w:rFonts w:ascii="Times New Roman" w:hAnsi="Times New Roman"/>
          <w:sz w:val="26"/>
          <w:szCs w:val="26"/>
          <w:lang w:eastAsia="ru-RU"/>
        </w:rPr>
        <w:t>1.4</w:t>
      </w:r>
      <w:r>
        <w:rPr>
          <w:rFonts w:ascii="Times New Roman" w:hAnsi="Times New Roman"/>
          <w:sz w:val="26"/>
          <w:szCs w:val="26"/>
          <w:lang w:eastAsia="ru-RU"/>
        </w:rPr>
        <w:t xml:space="preserve">.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B56133" w:rsidRPr="003775CE" w:rsidRDefault="00B56133" w:rsidP="00BB499E">
      <w:pPr>
        <w:spacing w:after="0" w:line="240" w:lineRule="auto"/>
        <w:rPr>
          <w:rFonts w:ascii="Times New Roman" w:hAnsi="Times New Roman"/>
          <w:color w:val="000000"/>
          <w:sz w:val="24"/>
          <w:szCs w:val="24"/>
        </w:rPr>
        <w:sectPr w:rsidR="00B56133" w:rsidRPr="003775CE" w:rsidSect="00C677B1">
          <w:headerReference w:type="even" r:id="rId11"/>
          <w:headerReference w:type="default" r:id="rId12"/>
          <w:footerReference w:type="even" r:id="rId13"/>
          <w:footerReference w:type="default" r:id="rId14"/>
          <w:footerReference w:type="first" r:id="rId15"/>
          <w:pgSz w:w="11906" w:h="16838"/>
          <w:pgMar w:top="111" w:right="850" w:bottom="426" w:left="993" w:header="709" w:footer="709" w:gutter="0"/>
          <w:cols w:space="708"/>
          <w:titlePg/>
          <w:docGrid w:linePitch="360"/>
        </w:sectPr>
      </w:pPr>
    </w:p>
    <w:p w:rsidR="00690D0B" w:rsidRDefault="00690D0B" w:rsidP="00B85AD7">
      <w:pPr>
        <w:spacing w:after="0" w:line="240" w:lineRule="auto"/>
        <w:ind w:left="9790"/>
        <w:jc w:val="center"/>
        <w:rPr>
          <w:rFonts w:ascii="Times New Roman" w:eastAsia="Times New Roman" w:hAnsi="Times New Roman"/>
          <w:color w:val="000000"/>
        </w:rPr>
      </w:pPr>
      <w:bookmarkStart w:id="1" w:name="P884"/>
      <w:bookmarkStart w:id="2" w:name="P1676"/>
      <w:bookmarkEnd w:id="1"/>
      <w:bookmarkEnd w:id="2"/>
    </w:p>
    <w:p w:rsidR="00C51AD1" w:rsidRPr="00CD53F7" w:rsidRDefault="00690D0B" w:rsidP="009163D6">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9A522E"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00" w:type="pct"/>
            <w:shd w:val="clear" w:color="auto" w:fill="auto"/>
          </w:tcPr>
          <w:p w:rsidR="00287E08" w:rsidRPr="001E228C" w:rsidRDefault="005D5F28" w:rsidP="00822CE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20 000,9</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7 942,3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7 963,7</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5D5F28"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9A522E"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00" w:type="pct"/>
            <w:shd w:val="clear" w:color="auto" w:fill="FFFFFF"/>
          </w:tcPr>
          <w:p w:rsidR="00287E08" w:rsidRPr="001E228C" w:rsidRDefault="00353C16" w:rsidP="005D5F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r w:rsidR="005D5F28">
              <w:rPr>
                <w:rFonts w:ascii="Times New Roman" w:eastAsia="Times New Roman" w:hAnsi="Times New Roman"/>
                <w:color w:val="000000"/>
                <w:sz w:val="16"/>
                <w:szCs w:val="16"/>
              </w:rPr>
              <w:t> </w:t>
            </w:r>
            <w:r w:rsidR="00822CEC">
              <w:rPr>
                <w:rFonts w:ascii="Times New Roman" w:eastAsia="Times New Roman" w:hAnsi="Times New Roman"/>
                <w:color w:val="000000"/>
                <w:sz w:val="16"/>
                <w:szCs w:val="16"/>
              </w:rPr>
              <w:t>1</w:t>
            </w:r>
            <w:r w:rsidR="005D5F28">
              <w:rPr>
                <w:rFonts w:ascii="Times New Roman" w:eastAsia="Times New Roman" w:hAnsi="Times New Roman"/>
                <w:color w:val="000000"/>
                <w:sz w:val="16"/>
                <w:szCs w:val="16"/>
              </w:rPr>
              <w:t>15,0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00" w:type="pct"/>
          </w:tcPr>
          <w:p w:rsidR="00287E08" w:rsidRPr="001E228C" w:rsidRDefault="009A522E"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9A522E">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r w:rsidR="009A522E">
              <w:rPr>
                <w:rFonts w:ascii="Times New Roman" w:hAnsi="Times New Roman"/>
                <w:color w:val="000000"/>
                <w:sz w:val="16"/>
                <w:szCs w:val="16"/>
                <w:lang w:eastAsia="ru-RU"/>
              </w:rPr>
              <w:t> 411,1</w:t>
            </w:r>
          </w:p>
        </w:tc>
        <w:tc>
          <w:tcPr>
            <w:tcW w:w="300" w:type="pct"/>
            <w:shd w:val="clear" w:color="auto" w:fill="auto"/>
          </w:tcPr>
          <w:p w:rsidR="00287E08" w:rsidRPr="001E228C" w:rsidRDefault="00822CEC" w:rsidP="005D5F28">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5D5F28">
              <w:rPr>
                <w:rFonts w:ascii="Times New Roman" w:hAnsi="Times New Roman"/>
                <w:color w:val="000000"/>
                <w:sz w:val="16"/>
                <w:szCs w:val="16"/>
              </w:rPr>
              <w:t>4 195,4</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00" w:type="pct"/>
          </w:tcPr>
          <w:p w:rsidR="00287E08" w:rsidRPr="001E228C" w:rsidRDefault="009A522E"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5D5F28"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9A522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9A522E">
              <w:rPr>
                <w:rFonts w:ascii="Times New Roman" w:eastAsia="Times New Roman" w:hAnsi="Times New Roman"/>
                <w:color w:val="000000"/>
                <w:sz w:val="16"/>
                <w:szCs w:val="16"/>
              </w:rPr>
              <w:t> 205,7</w:t>
            </w:r>
          </w:p>
        </w:tc>
        <w:tc>
          <w:tcPr>
            <w:tcW w:w="300" w:type="pct"/>
            <w:shd w:val="clear" w:color="auto" w:fill="FFFFFF"/>
          </w:tcPr>
          <w:p w:rsidR="00287E08" w:rsidRPr="001E228C" w:rsidRDefault="00353C16" w:rsidP="005D5F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5D5F28">
              <w:rPr>
                <w:rFonts w:ascii="Times New Roman" w:eastAsia="Times New Roman" w:hAnsi="Times New Roman"/>
                <w:color w:val="000000"/>
                <w:sz w:val="16"/>
                <w:szCs w:val="16"/>
              </w:rPr>
              <w:t> 948,4</w:t>
            </w:r>
          </w:p>
        </w:tc>
        <w:tc>
          <w:tcPr>
            <w:tcW w:w="300" w:type="pct"/>
          </w:tcPr>
          <w:p w:rsidR="00287E08" w:rsidRPr="001E228C" w:rsidRDefault="009A522E"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287E08" w:rsidRPr="001E228C" w:rsidRDefault="00353C16" w:rsidP="005D5F28">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5D5F28">
              <w:rPr>
                <w:rFonts w:ascii="Times New Roman" w:hAnsi="Times New Roman"/>
                <w:color w:val="000000"/>
                <w:sz w:val="16"/>
                <w:szCs w:val="16"/>
              </w:rPr>
              <w:t> 451,9</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775,0</w:t>
            </w:r>
          </w:p>
        </w:tc>
        <w:tc>
          <w:tcPr>
            <w:tcW w:w="300" w:type="pct"/>
          </w:tcPr>
          <w:p w:rsidR="00C77201" w:rsidRPr="001E228C" w:rsidRDefault="00353C16" w:rsidP="005D5F28">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5D5F28">
              <w:rPr>
                <w:rFonts w:ascii="Times New Roman" w:hAnsi="Times New Roman"/>
                <w:color w:val="000000"/>
                <w:sz w:val="16"/>
                <w:szCs w:val="16"/>
              </w:rPr>
              <w:t> 451,9</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5D5F28"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5D5F28"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5D5F28">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5D5F28">
              <w:rPr>
                <w:rFonts w:ascii="Times New Roman" w:hAnsi="Times New Roman"/>
                <w:color w:val="000000"/>
                <w:sz w:val="16"/>
                <w:szCs w:val="16"/>
              </w:rPr>
              <w:t>11 974,3</w:t>
            </w:r>
          </w:p>
        </w:tc>
        <w:tc>
          <w:tcPr>
            <w:tcW w:w="300" w:type="pct"/>
            <w:shd w:val="clear" w:color="auto" w:fill="auto"/>
          </w:tcPr>
          <w:p w:rsidR="00287E08" w:rsidRPr="00934149" w:rsidRDefault="001A2EAD"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shd w:val="clear" w:color="auto" w:fill="auto"/>
          </w:tcPr>
          <w:p w:rsidR="00287E08" w:rsidRPr="00934149" w:rsidRDefault="001A2EAD"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5D5F28">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5D5F28">
              <w:rPr>
                <w:rFonts w:ascii="Times New Roman" w:eastAsia="Times New Roman" w:hAnsi="Times New Roman"/>
                <w:color w:val="000000"/>
                <w:sz w:val="16"/>
                <w:szCs w:val="16"/>
              </w:rPr>
              <w:t>03</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8C3ACB" w:rsidRPr="001E228C"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5D5F2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5D5F2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5D5F28">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994</w:t>
            </w:r>
            <w:r w:rsidR="005D5F28">
              <w:rPr>
                <w:rFonts w:ascii="Times New Roman" w:eastAsia="Times New Roman" w:hAnsi="Times New Roman"/>
                <w:color w:val="000000"/>
                <w:sz w:val="16"/>
                <w:szCs w:val="16"/>
              </w:rPr>
              <w:t xml:space="preserve"> </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2 535,8</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r w:rsidR="00287E08">
              <w:rPr>
                <w:rFonts w:ascii="Times New Roman" w:hAnsi="Times New Roman"/>
                <w:color w:val="000000"/>
                <w:sz w:val="16"/>
                <w:szCs w:val="16"/>
              </w:rPr>
              <w:t xml:space="preserve"> </w:t>
            </w:r>
          </w:p>
        </w:tc>
        <w:tc>
          <w:tcPr>
            <w:tcW w:w="300" w:type="pct"/>
          </w:tcPr>
          <w:p w:rsidR="00287E08"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Default="00353C16"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5D5F2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7 726,9</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5D5F2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1027,0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5D5F2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5D5F28"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5D5F28"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5D5F2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88,4</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shd w:val="clear" w:color="auto" w:fill="FFFFFF"/>
          </w:tcPr>
          <w:p w:rsidR="000B39AB" w:rsidRPr="001E228C" w:rsidRDefault="00353C16"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sidR="001A2EAD">
        <w:rPr>
          <w:rFonts w:ascii="Times New Roman" w:hAnsi="Times New Roman"/>
          <w:color w:val="000000"/>
          <w:sz w:val="24"/>
          <w:szCs w:val="24"/>
        </w:rPr>
        <w:t>5</w:t>
      </w:r>
      <w:r w:rsidRPr="007B1947">
        <w:rPr>
          <w:rFonts w:ascii="Times New Roman" w:hAnsi="Times New Roman"/>
          <w:color w:val="000000"/>
          <w:sz w:val="24"/>
          <w:szCs w:val="24"/>
        </w:rPr>
        <w:t>.</w:t>
      </w:r>
      <w:r w:rsidR="00613303">
        <w:rPr>
          <w:rFonts w:ascii="Times New Roman" w:hAnsi="Times New Roman"/>
          <w:color w:val="000000"/>
          <w:sz w:val="24"/>
          <w:szCs w:val="24"/>
        </w:rPr>
        <w:t xml:space="preserve"> </w:t>
      </w:r>
      <w:r w:rsidR="0016364D">
        <w:rPr>
          <w:rFonts w:ascii="Times New Roman" w:hAnsi="Times New Roman"/>
          <w:color w:val="000000"/>
          <w:sz w:val="24"/>
          <w:szCs w:val="24"/>
        </w:rPr>
        <w:t>в п</w:t>
      </w:r>
      <w:r w:rsidR="00D966BF">
        <w:rPr>
          <w:rFonts w:ascii="Times New Roman" w:hAnsi="Times New Roman"/>
          <w:color w:val="000000"/>
          <w:sz w:val="24"/>
          <w:szCs w:val="24"/>
        </w:rPr>
        <w:t>риложени</w:t>
      </w:r>
      <w:r w:rsidR="009163D6">
        <w:rPr>
          <w:rFonts w:ascii="Times New Roman" w:hAnsi="Times New Roman"/>
          <w:color w:val="000000"/>
          <w:sz w:val="24"/>
          <w:szCs w:val="24"/>
        </w:rPr>
        <w:t>и</w:t>
      </w:r>
      <w:r w:rsidR="00D966BF">
        <w:rPr>
          <w:rFonts w:ascii="Times New Roman" w:hAnsi="Times New Roman"/>
          <w:color w:val="000000"/>
          <w:sz w:val="24"/>
          <w:szCs w:val="24"/>
        </w:rPr>
        <w:t xml:space="preserve"> № 3 </w:t>
      </w:r>
      <w:r w:rsidR="00D966BF" w:rsidRPr="00D966BF">
        <w:rPr>
          <w:rFonts w:ascii="Times New Roman" w:hAnsi="Times New Roman"/>
          <w:color w:val="000000"/>
          <w:sz w:val="24"/>
          <w:szCs w:val="24"/>
        </w:rPr>
        <w:t xml:space="preserve">к </w:t>
      </w:r>
      <w:r w:rsidR="0016364D">
        <w:rPr>
          <w:rFonts w:ascii="Times New Roman" w:hAnsi="Times New Roman"/>
          <w:color w:val="000000"/>
          <w:sz w:val="24"/>
          <w:szCs w:val="24"/>
        </w:rPr>
        <w:t>П</w:t>
      </w:r>
      <w:r w:rsidR="00D966BF" w:rsidRPr="00D966BF">
        <w:rPr>
          <w:rFonts w:ascii="Times New Roman" w:hAnsi="Times New Roman"/>
          <w:color w:val="000000"/>
          <w:sz w:val="24"/>
          <w:szCs w:val="24"/>
        </w:rPr>
        <w:t>рограмме</w:t>
      </w:r>
      <w:r w:rsidR="00D966BF">
        <w:rPr>
          <w:rFonts w:ascii="Times New Roman" w:hAnsi="Times New Roman"/>
          <w:color w:val="000000"/>
          <w:sz w:val="24"/>
          <w:szCs w:val="24"/>
        </w:rPr>
        <w:t>:</w:t>
      </w:r>
    </w:p>
    <w:p w:rsidR="00AB2031" w:rsidRDefault="009163D6" w:rsidP="009163D6">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6"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sidR="00613303">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Шумерлинского муниципального округа»</w:t>
      </w:r>
      <w:r w:rsidR="007B1947" w:rsidRPr="007B1947">
        <w:rPr>
          <w:rFonts w:ascii="Times New Roman" w:hAnsi="Times New Roman"/>
          <w:sz w:val="24"/>
          <w:szCs w:val="24"/>
          <w:lang w:eastAsia="ru-RU"/>
        </w:rPr>
        <w:t xml:space="preserve"> </w:t>
      </w:r>
      <w:r w:rsidR="0016364D">
        <w:rPr>
          <w:rFonts w:ascii="Times New Roman" w:hAnsi="Times New Roman"/>
          <w:sz w:val="24"/>
          <w:szCs w:val="24"/>
          <w:lang w:eastAsia="ru-RU"/>
        </w:rPr>
        <w:t>П</w:t>
      </w:r>
      <w:r>
        <w:rPr>
          <w:rFonts w:ascii="Times New Roman" w:hAnsi="Times New Roman"/>
          <w:sz w:val="24"/>
          <w:szCs w:val="24"/>
          <w:lang w:eastAsia="ru-RU"/>
        </w:rPr>
        <w:t xml:space="preserve">рограммы </w:t>
      </w:r>
      <w:hyperlink r:id="rId17"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w:t>
      </w:r>
      <w:r>
        <w:rPr>
          <w:rFonts w:ascii="Times New Roman" w:hAnsi="Times New Roman"/>
          <w:sz w:val="24"/>
          <w:szCs w:val="24"/>
          <w:lang w:eastAsia="ru-RU"/>
        </w:rPr>
        <w:t>«</w:t>
      </w:r>
      <w:r w:rsidR="00AB2031">
        <w:rPr>
          <w:rFonts w:ascii="Times New Roman" w:hAnsi="Times New Roman"/>
          <w:sz w:val="24"/>
          <w:szCs w:val="24"/>
          <w:lang w:eastAsia="ru-RU"/>
        </w:rPr>
        <w:t>Объемы финансирования подпрограммы с разбивкой по годам реализации подпрограммы</w:t>
      </w:r>
      <w:r>
        <w:rPr>
          <w:rFonts w:ascii="Times New Roman" w:hAnsi="Times New Roman"/>
          <w:sz w:val="24"/>
          <w:szCs w:val="24"/>
          <w:lang w:eastAsia="ru-RU"/>
        </w:rPr>
        <w:t>»</w:t>
      </w:r>
      <w:r w:rsidR="00AB2031">
        <w:rPr>
          <w:rFonts w:ascii="Times New Roman" w:hAnsi="Times New Roman"/>
          <w:sz w:val="24"/>
          <w:szCs w:val="24"/>
          <w:lang w:eastAsia="ru-RU"/>
        </w:rPr>
        <w:t xml:space="preserve">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A82BE2">
        <w:trPr>
          <w:trHeight w:val="10543"/>
        </w:trPr>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AA4367">
              <w:rPr>
                <w:rFonts w:ascii="Times New Roman" w:hAnsi="Times New Roman" w:cs="Times New Roman"/>
                <w:color w:val="000000"/>
                <w:sz w:val="24"/>
                <w:szCs w:val="24"/>
              </w:rPr>
              <w:t>36 178,4</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10</w:t>
            </w:r>
            <w:r w:rsidR="001A2EAD">
              <w:rPr>
                <w:rFonts w:ascii="Times New Roman" w:eastAsia="Times New Roman" w:hAnsi="Times New Roman"/>
                <w:color w:val="000000"/>
                <w:sz w:val="24"/>
                <w:szCs w:val="24"/>
                <w:lang w:eastAsia="ru-RU"/>
              </w:rPr>
              <w:t> 411,1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22CEC">
              <w:rPr>
                <w:rFonts w:ascii="Times New Roman" w:eastAsia="Times New Roman" w:hAnsi="Times New Roman"/>
                <w:color w:val="000000"/>
                <w:sz w:val="24"/>
                <w:szCs w:val="24"/>
                <w:lang w:eastAsia="ru-RU"/>
              </w:rPr>
              <w:t>1</w:t>
            </w:r>
            <w:r w:rsidR="00AA4367">
              <w:rPr>
                <w:rFonts w:ascii="Times New Roman" w:eastAsia="Times New Roman" w:hAnsi="Times New Roman"/>
                <w:color w:val="000000"/>
                <w:sz w:val="24"/>
                <w:szCs w:val="24"/>
                <w:lang w:eastAsia="ru-RU"/>
              </w:rPr>
              <w:t>4 195,4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822CEC">
              <w:rPr>
                <w:rFonts w:ascii="Times New Roman" w:hAnsi="Times New Roman" w:cs="Times New Roman"/>
                <w:color w:val="000000"/>
                <w:sz w:val="24"/>
                <w:szCs w:val="24"/>
              </w:rPr>
              <w:t>12 425,6</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AA4367">
              <w:rPr>
                <w:rFonts w:ascii="Times New Roman" w:hAnsi="Times New Roman" w:cs="Times New Roman"/>
                <w:color w:val="000000"/>
                <w:sz w:val="24"/>
                <w:szCs w:val="24"/>
              </w:rPr>
              <w:t>34,3</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3 132,0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628,3</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F3492A">
              <w:rPr>
                <w:rFonts w:ascii="Times New Roman" w:hAnsi="Times New Roman" w:cs="Times New Roman"/>
                <w:color w:val="000000"/>
                <w:sz w:val="24"/>
                <w:szCs w:val="24"/>
              </w:rPr>
              <w:t>1</w:t>
            </w:r>
            <w:r w:rsidR="00AA4367">
              <w:rPr>
                <w:rFonts w:ascii="Times New Roman" w:hAnsi="Times New Roman" w:cs="Times New Roman"/>
                <w:color w:val="000000"/>
                <w:sz w:val="24"/>
                <w:szCs w:val="24"/>
              </w:rPr>
              <w:t>4 023,5</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822CEC">
              <w:rPr>
                <w:rFonts w:ascii="Times New Roman" w:hAnsi="Times New Roman" w:cs="Times New Roman"/>
                <w:color w:val="000000"/>
                <w:sz w:val="24"/>
                <w:szCs w:val="24"/>
              </w:rPr>
              <w:t>8</w:t>
            </w:r>
            <w:r w:rsidR="00AA4367">
              <w:rPr>
                <w:rFonts w:ascii="Times New Roman" w:hAnsi="Times New Roman" w:cs="Times New Roman"/>
                <w:color w:val="000000"/>
                <w:sz w:val="24"/>
                <w:szCs w:val="24"/>
              </w:rPr>
              <w:t>,8</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5 269,6</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AA4367">
              <w:rPr>
                <w:rFonts w:ascii="Times New Roman" w:eastAsia="Times New Roman" w:hAnsi="Times New Roman"/>
                <w:color w:val="000000"/>
                <w:sz w:val="24"/>
                <w:szCs w:val="24"/>
                <w:lang w:eastAsia="ru-RU"/>
              </w:rPr>
              <w:t>8 753,9</w:t>
            </w:r>
            <w:r w:rsidR="00F3492A">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A2EAD">
              <w:rPr>
                <w:rFonts w:ascii="Times New Roman" w:hAnsi="Times New Roman" w:cs="Times New Roman"/>
                <w:color w:val="000000"/>
                <w:sz w:val="24"/>
                <w:szCs w:val="24"/>
              </w:rPr>
              <w:t>9</w:t>
            </w:r>
            <w:r w:rsidR="00AA4367">
              <w:rPr>
                <w:rFonts w:ascii="Times New Roman" w:hAnsi="Times New Roman" w:cs="Times New Roman"/>
                <w:color w:val="000000"/>
                <w:sz w:val="24"/>
                <w:szCs w:val="24"/>
              </w:rPr>
              <w:t> </w:t>
            </w:r>
            <w:r w:rsidR="00822CEC">
              <w:rPr>
                <w:rFonts w:ascii="Times New Roman" w:hAnsi="Times New Roman" w:cs="Times New Roman"/>
                <w:color w:val="000000"/>
                <w:sz w:val="24"/>
                <w:szCs w:val="24"/>
              </w:rPr>
              <w:t>7</w:t>
            </w:r>
            <w:r w:rsidR="00AA4367">
              <w:rPr>
                <w:rFonts w:ascii="Times New Roman" w:hAnsi="Times New Roman" w:cs="Times New Roman"/>
                <w:color w:val="000000"/>
                <w:sz w:val="24"/>
                <w:szCs w:val="24"/>
              </w:rPr>
              <w:t>29,3</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822CEC">
              <w:rPr>
                <w:rFonts w:ascii="Times New Roman" w:hAnsi="Times New Roman" w:cs="Times New Roman"/>
                <w:color w:val="000000"/>
                <w:sz w:val="24"/>
                <w:szCs w:val="24"/>
              </w:rPr>
              <w:t>2</w:t>
            </w:r>
            <w:r w:rsidR="00AA4367">
              <w:rPr>
                <w:rFonts w:ascii="Times New Roman" w:hAnsi="Times New Roman" w:cs="Times New Roman"/>
                <w:color w:val="000000"/>
                <w:sz w:val="24"/>
                <w:szCs w:val="24"/>
              </w:rPr>
              <w:t>6,9</w:t>
            </w:r>
            <w:r w:rsidR="00083795">
              <w:rPr>
                <w:rFonts w:ascii="Times New Roman" w:hAnsi="Times New Roman" w:cs="Times New Roman"/>
                <w:color w:val="000000"/>
                <w:sz w:val="24"/>
                <w:szCs w:val="24"/>
              </w:rPr>
              <w:t xml:space="preserve"> процент)</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w:t>
            </w:r>
            <w:r w:rsidR="001A2EAD">
              <w:rPr>
                <w:rFonts w:ascii="Times New Roman" w:eastAsia="Times New Roman" w:hAnsi="Times New Roman"/>
                <w:color w:val="000000"/>
                <w:sz w:val="24"/>
                <w:szCs w:val="24"/>
                <w:lang w:eastAsia="ru-RU"/>
              </w:rPr>
              <w:t> 205,7</w:t>
            </w:r>
            <w:r w:rsidR="00DE271E">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A2EAD">
              <w:rPr>
                <w:rFonts w:ascii="Times New Roman" w:eastAsia="Times New Roman" w:hAnsi="Times New Roman"/>
                <w:color w:val="000000"/>
                <w:sz w:val="24"/>
                <w:szCs w:val="24"/>
                <w:lang w:eastAsia="ru-RU"/>
              </w:rPr>
              <w:t>2</w:t>
            </w:r>
            <w:r w:rsidR="00AA4367">
              <w:rPr>
                <w:rFonts w:ascii="Times New Roman" w:eastAsia="Times New Roman" w:hAnsi="Times New Roman"/>
                <w:color w:val="000000"/>
                <w:sz w:val="24"/>
                <w:szCs w:val="24"/>
                <w:lang w:eastAsia="ru-RU"/>
              </w:rPr>
              <w:t> </w:t>
            </w:r>
            <w:r w:rsidR="00822CEC">
              <w:rPr>
                <w:rFonts w:ascii="Times New Roman" w:eastAsia="Times New Roman" w:hAnsi="Times New Roman"/>
                <w:color w:val="000000"/>
                <w:sz w:val="24"/>
                <w:szCs w:val="24"/>
                <w:lang w:eastAsia="ru-RU"/>
              </w:rPr>
              <w:t>3</w:t>
            </w:r>
            <w:r w:rsidR="00AA4367">
              <w:rPr>
                <w:rFonts w:ascii="Times New Roman" w:eastAsia="Times New Roman" w:hAnsi="Times New Roman"/>
                <w:color w:val="000000"/>
                <w:sz w:val="24"/>
                <w:szCs w:val="24"/>
                <w:lang w:eastAsia="ru-RU"/>
              </w:rPr>
              <w:t>09,5</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2 00</w:t>
            </w:r>
            <w:r w:rsidR="00083795">
              <w:rPr>
                <w:rFonts w:ascii="Times New Roman" w:eastAsia="Times New Roman" w:hAnsi="Times New Roman"/>
                <w:color w:val="000000"/>
                <w:sz w:val="24"/>
                <w:szCs w:val="24"/>
                <w:lang w:eastAsia="ru-RU"/>
              </w:rPr>
              <w:t>0</w:t>
            </w:r>
            <w:r w:rsidR="001A2EAD">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w:t>
            </w:r>
            <w:r w:rsidR="00083795">
              <w:rPr>
                <w:rFonts w:ascii="Times New Roman" w:hAnsi="Times New Roman" w:cs="Times New Roman"/>
                <w:color w:val="000000"/>
                <w:sz w:val="24"/>
                <w:szCs w:val="24"/>
              </w:rPr>
              <w:t>муниципального округа</w:t>
            </w:r>
            <w:proofErr w:type="gramStart"/>
            <w:r w:rsidR="00613303">
              <w:rPr>
                <w:rFonts w:ascii="Times New Roman" w:hAnsi="Times New Roman" w:cs="Times New Roman"/>
                <w:color w:val="000000"/>
                <w:sz w:val="24"/>
                <w:szCs w:val="24"/>
              </w:rPr>
              <w:t>.</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roofErr w:type="gramEnd"/>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E64188" w:rsidRDefault="00D966BF" w:rsidP="00D966BF">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9163D6">
        <w:rPr>
          <w:rFonts w:ascii="Times New Roman" w:hAnsi="Times New Roman"/>
          <w:sz w:val="24"/>
          <w:szCs w:val="24"/>
        </w:rPr>
        <w:t>«</w:t>
      </w:r>
      <w:r w:rsidR="009163D6" w:rsidRPr="007B1947">
        <w:rPr>
          <w:rFonts w:ascii="Times New Roman" w:hAnsi="Times New Roman"/>
          <w:sz w:val="24"/>
          <w:szCs w:val="24"/>
        </w:rPr>
        <w:t>Совершенствование бюджетной политики и обеспечение сбалансированности бюджета</w:t>
      </w:r>
      <w:r w:rsidR="009163D6">
        <w:rPr>
          <w:rFonts w:ascii="Times New Roman" w:hAnsi="Times New Roman"/>
          <w:sz w:val="24"/>
          <w:szCs w:val="24"/>
        </w:rPr>
        <w:t xml:space="preserve"> Шумерлинского муниципального округа»</w:t>
      </w:r>
      <w:r w:rsidR="009163D6" w:rsidRPr="007B1947">
        <w:rPr>
          <w:rFonts w:ascii="Times New Roman" w:hAnsi="Times New Roman"/>
          <w:sz w:val="24"/>
          <w:szCs w:val="24"/>
        </w:rPr>
        <w:t xml:space="preserve"> </w:t>
      </w:r>
      <w:r w:rsidR="009163D6">
        <w:rPr>
          <w:rFonts w:ascii="Times New Roman" w:hAnsi="Times New Roman"/>
          <w:sz w:val="24"/>
          <w:szCs w:val="24"/>
        </w:rPr>
        <w:t>Программы</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w:t>
      </w:r>
      <w:r w:rsidR="00F3492A">
        <w:rPr>
          <w:rFonts w:ascii="Times New Roman" w:hAnsi="Times New Roman" w:cs="Times New Roman"/>
          <w:color w:val="000000"/>
          <w:sz w:val="24"/>
          <w:szCs w:val="24"/>
        </w:rPr>
        <w:t>3</w:t>
      </w:r>
      <w:r w:rsidR="00822CEC">
        <w:rPr>
          <w:rFonts w:ascii="Times New Roman" w:hAnsi="Times New Roman" w:cs="Times New Roman"/>
          <w:color w:val="000000"/>
          <w:sz w:val="24"/>
          <w:szCs w:val="24"/>
        </w:rPr>
        <w:t>6</w:t>
      </w:r>
      <w:r w:rsidR="00AA4367">
        <w:rPr>
          <w:rFonts w:ascii="Times New Roman" w:hAnsi="Times New Roman" w:cs="Times New Roman"/>
          <w:color w:val="000000"/>
          <w:sz w:val="24"/>
          <w:szCs w:val="24"/>
        </w:rPr>
        <w:t> 178,4</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C04416">
        <w:rPr>
          <w:rFonts w:ascii="Times New Roman" w:hAnsi="Times New Roman" w:cs="Times New Roman"/>
          <w:color w:val="000000"/>
          <w:sz w:val="24"/>
          <w:szCs w:val="24"/>
        </w:rPr>
        <w:t xml:space="preserve"> </w:t>
      </w:r>
      <w:r w:rsidR="00822CEC">
        <w:rPr>
          <w:rFonts w:ascii="Times New Roman" w:hAnsi="Times New Roman" w:cs="Times New Roman"/>
          <w:color w:val="000000"/>
          <w:sz w:val="24"/>
          <w:szCs w:val="24"/>
        </w:rPr>
        <w:t>12 425,6</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F3492A">
        <w:rPr>
          <w:rFonts w:ascii="Times New Roman" w:hAnsi="Times New Roman" w:cs="Times New Roman"/>
          <w:color w:val="000000"/>
          <w:sz w:val="24"/>
          <w:szCs w:val="24"/>
        </w:rPr>
        <w:t>1</w:t>
      </w:r>
      <w:r w:rsidR="00AA4367">
        <w:rPr>
          <w:rFonts w:ascii="Times New Roman" w:hAnsi="Times New Roman" w:cs="Times New Roman"/>
          <w:color w:val="000000"/>
          <w:sz w:val="24"/>
          <w:szCs w:val="24"/>
        </w:rPr>
        <w:t>4 023,5</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6740AF">
        <w:rPr>
          <w:rFonts w:ascii="Times New Roman" w:hAnsi="Times New Roman" w:cs="Times New Roman"/>
          <w:color w:val="000000"/>
          <w:sz w:val="24"/>
          <w:szCs w:val="24"/>
        </w:rPr>
        <w:t>9</w:t>
      </w:r>
      <w:r w:rsidR="00AA4367">
        <w:rPr>
          <w:rFonts w:ascii="Times New Roman" w:hAnsi="Times New Roman" w:cs="Times New Roman"/>
          <w:color w:val="000000"/>
          <w:sz w:val="24"/>
          <w:szCs w:val="24"/>
        </w:rPr>
        <w:t> </w:t>
      </w:r>
      <w:r w:rsidR="00822CEC">
        <w:rPr>
          <w:rFonts w:ascii="Times New Roman" w:hAnsi="Times New Roman" w:cs="Times New Roman"/>
          <w:color w:val="000000"/>
          <w:sz w:val="24"/>
          <w:szCs w:val="24"/>
        </w:rPr>
        <w:t>7</w:t>
      </w:r>
      <w:r w:rsidR="00AA4367">
        <w:rPr>
          <w:rFonts w:ascii="Times New Roman" w:hAnsi="Times New Roman" w:cs="Times New Roman"/>
          <w:color w:val="000000"/>
          <w:sz w:val="24"/>
          <w:szCs w:val="24"/>
        </w:rPr>
        <w:t>29,3</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F3492A">
        <w:rPr>
          <w:rFonts w:ascii="Times New Roman" w:eastAsia="Times New Roman" w:hAnsi="Times New Roman"/>
          <w:color w:val="000000"/>
          <w:sz w:val="24"/>
          <w:szCs w:val="24"/>
          <w:lang w:eastAsia="ru-RU"/>
        </w:rPr>
        <w:t>2</w:t>
      </w:r>
      <w:r w:rsidR="00AA4367">
        <w:rPr>
          <w:rFonts w:ascii="Times New Roman" w:eastAsia="Times New Roman" w:hAnsi="Times New Roman"/>
          <w:color w:val="000000"/>
          <w:sz w:val="24"/>
          <w:szCs w:val="24"/>
          <w:lang w:eastAsia="ru-RU"/>
        </w:rPr>
        <w:t>9 884,5</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10</w:t>
      </w:r>
      <w:r w:rsidR="006740AF">
        <w:rPr>
          <w:rFonts w:ascii="Times New Roman" w:eastAsia="Times New Roman" w:hAnsi="Times New Roman"/>
          <w:color w:val="000000"/>
          <w:sz w:val="24"/>
          <w:szCs w:val="24"/>
          <w:lang w:eastAsia="ru-RU"/>
        </w:rPr>
        <w:t> 411,1</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1</w:t>
      </w:r>
      <w:r w:rsidR="00AA4367">
        <w:rPr>
          <w:rFonts w:ascii="Times New Roman" w:eastAsia="Times New Roman" w:hAnsi="Times New Roman"/>
          <w:color w:val="000000"/>
          <w:sz w:val="24"/>
          <w:szCs w:val="24"/>
          <w:lang w:eastAsia="ru-RU"/>
        </w:rPr>
        <w:t>4 195,4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822CEC">
        <w:rPr>
          <w:rFonts w:ascii="Times New Roman" w:eastAsia="Times New Roman" w:hAnsi="Times New Roman"/>
          <w:color w:val="000000"/>
          <w:sz w:val="24"/>
          <w:szCs w:val="24"/>
          <w:lang w:eastAsia="ru-RU"/>
        </w:rPr>
        <w:t>7 345,8</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2 935,8</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3 132,0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F3492A">
        <w:rPr>
          <w:rFonts w:ascii="Times New Roman" w:eastAsia="Times New Roman" w:hAnsi="Times New Roman"/>
          <w:color w:val="000000"/>
          <w:sz w:val="24"/>
          <w:szCs w:val="24"/>
          <w:lang w:eastAsia="ru-RU"/>
        </w:rPr>
        <w:t>1</w:t>
      </w:r>
      <w:r w:rsidR="00AA4367">
        <w:rPr>
          <w:rFonts w:ascii="Times New Roman" w:eastAsia="Times New Roman" w:hAnsi="Times New Roman"/>
          <w:color w:val="000000"/>
          <w:sz w:val="24"/>
          <w:szCs w:val="24"/>
          <w:lang w:eastAsia="ru-RU"/>
        </w:rPr>
        <w:t>4 023,5</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5 269,6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AA4367">
        <w:rPr>
          <w:rFonts w:ascii="Times New Roman" w:eastAsia="Times New Roman" w:hAnsi="Times New Roman"/>
          <w:color w:val="000000"/>
          <w:sz w:val="24"/>
          <w:szCs w:val="24"/>
          <w:lang w:eastAsia="ru-RU"/>
        </w:rPr>
        <w:t>8 753,9</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6740AF">
        <w:rPr>
          <w:rFonts w:ascii="Times New Roman" w:eastAsia="Times New Roman" w:hAnsi="Times New Roman"/>
          <w:color w:val="000000"/>
          <w:sz w:val="24"/>
          <w:szCs w:val="24"/>
          <w:lang w:eastAsia="ru-RU"/>
        </w:rPr>
        <w:t>8</w:t>
      </w:r>
      <w:r w:rsidR="00AA4367">
        <w:rPr>
          <w:rFonts w:ascii="Times New Roman" w:eastAsia="Times New Roman" w:hAnsi="Times New Roman"/>
          <w:color w:val="000000"/>
          <w:sz w:val="24"/>
          <w:szCs w:val="24"/>
          <w:lang w:eastAsia="ru-RU"/>
        </w:rPr>
        <w:t> </w:t>
      </w:r>
      <w:r w:rsidR="00822CEC">
        <w:rPr>
          <w:rFonts w:ascii="Times New Roman" w:eastAsia="Times New Roman" w:hAnsi="Times New Roman"/>
          <w:color w:val="000000"/>
          <w:sz w:val="24"/>
          <w:szCs w:val="24"/>
          <w:lang w:eastAsia="ru-RU"/>
        </w:rPr>
        <w:t>5</w:t>
      </w:r>
      <w:r w:rsidR="00AA4367">
        <w:rPr>
          <w:rFonts w:ascii="Times New Roman" w:eastAsia="Times New Roman" w:hAnsi="Times New Roman"/>
          <w:color w:val="000000"/>
          <w:sz w:val="24"/>
          <w:szCs w:val="24"/>
          <w:lang w:eastAsia="ru-RU"/>
        </w:rPr>
        <w:t>15,2</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w:t>
      </w:r>
      <w:r w:rsidR="006740AF">
        <w:rPr>
          <w:rFonts w:ascii="Times New Roman" w:eastAsia="Times New Roman" w:hAnsi="Times New Roman"/>
          <w:color w:val="000000"/>
          <w:sz w:val="24"/>
          <w:szCs w:val="24"/>
          <w:lang w:eastAsia="ru-RU"/>
        </w:rPr>
        <w:t> 205,7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6740AF">
        <w:rPr>
          <w:rFonts w:ascii="Times New Roman" w:eastAsia="Times New Roman" w:hAnsi="Times New Roman"/>
          <w:color w:val="000000"/>
          <w:sz w:val="24"/>
          <w:szCs w:val="24"/>
          <w:lang w:eastAsia="ru-RU"/>
        </w:rPr>
        <w:t>2</w:t>
      </w:r>
      <w:r w:rsidR="00AA4367">
        <w:rPr>
          <w:rFonts w:ascii="Times New Roman" w:eastAsia="Times New Roman" w:hAnsi="Times New Roman"/>
          <w:color w:val="000000"/>
          <w:sz w:val="24"/>
          <w:szCs w:val="24"/>
          <w:lang w:eastAsia="ru-RU"/>
        </w:rPr>
        <w:t> </w:t>
      </w:r>
      <w:r w:rsidR="00822CEC">
        <w:rPr>
          <w:rFonts w:ascii="Times New Roman" w:eastAsia="Times New Roman" w:hAnsi="Times New Roman"/>
          <w:color w:val="000000"/>
          <w:sz w:val="24"/>
          <w:szCs w:val="24"/>
          <w:lang w:eastAsia="ru-RU"/>
        </w:rPr>
        <w:t>3</w:t>
      </w:r>
      <w:r w:rsidR="00AA4367">
        <w:rPr>
          <w:rFonts w:ascii="Times New Roman" w:eastAsia="Times New Roman" w:hAnsi="Times New Roman"/>
          <w:color w:val="000000"/>
          <w:sz w:val="24"/>
          <w:szCs w:val="24"/>
          <w:lang w:eastAsia="ru-RU"/>
        </w:rPr>
        <w:t>09,5</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140C8C" w:rsidRPr="00B455B2">
        <w:rPr>
          <w:rFonts w:ascii="Times New Roman" w:hAnsi="Times New Roman"/>
          <w:sz w:val="24"/>
          <w:szCs w:val="24"/>
        </w:rPr>
        <w:t>Привлечение  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D966BF" w:rsidP="00D966BF">
      <w:pPr>
        <w:pStyle w:val="aff9"/>
        <w:ind w:firstLine="567"/>
        <w:jc w:val="both"/>
        <w:rPr>
          <w:rFonts w:ascii="Times New Roman" w:hAnsi="Times New Roman"/>
          <w:sz w:val="24"/>
          <w:szCs w:val="24"/>
        </w:rPr>
      </w:pPr>
      <w:r>
        <w:rPr>
          <w:rFonts w:ascii="Times New Roman" w:hAnsi="Times New Roman"/>
          <w:sz w:val="24"/>
          <w:szCs w:val="24"/>
        </w:rPr>
        <w:t>п</w:t>
      </w:r>
      <w:r w:rsidR="00C8318A">
        <w:rPr>
          <w:rFonts w:ascii="Times New Roman" w:hAnsi="Times New Roman"/>
          <w:sz w:val="24"/>
          <w:szCs w:val="24"/>
        </w:rPr>
        <w:t>риложение №</w:t>
      </w:r>
      <w:r w:rsidR="009163D6">
        <w:rPr>
          <w:rFonts w:ascii="Times New Roman" w:hAnsi="Times New Roman"/>
          <w:sz w:val="24"/>
          <w:szCs w:val="24"/>
        </w:rPr>
        <w:t xml:space="preserve"> </w:t>
      </w:r>
      <w:r w:rsidR="00C8318A">
        <w:rPr>
          <w:rFonts w:ascii="Times New Roman" w:hAnsi="Times New Roman"/>
          <w:sz w:val="24"/>
          <w:szCs w:val="24"/>
        </w:rPr>
        <w:t>1 к Подпрограмме</w:t>
      </w:r>
      <w:r w:rsidR="009163D6">
        <w:rPr>
          <w:rFonts w:ascii="Times New Roman" w:hAnsi="Times New Roman"/>
          <w:sz w:val="24"/>
          <w:szCs w:val="24"/>
        </w:rPr>
        <w:t xml:space="preserve"> </w:t>
      </w:r>
      <w:r w:rsidR="009163D6">
        <w:rPr>
          <w:rFonts w:ascii="Times New Roman" w:hAnsi="Times New Roman"/>
          <w:sz w:val="24"/>
          <w:szCs w:val="24"/>
          <w:lang w:eastAsia="ru-RU"/>
        </w:rPr>
        <w:t>«</w:t>
      </w:r>
      <w:r w:rsidR="009163D6"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9163D6">
        <w:rPr>
          <w:rFonts w:ascii="Times New Roman" w:hAnsi="Times New Roman"/>
          <w:sz w:val="24"/>
          <w:szCs w:val="24"/>
          <w:lang w:eastAsia="ru-RU"/>
        </w:rPr>
        <w:t xml:space="preserve"> Шумерлинского муниципального округа»</w:t>
      </w:r>
      <w:r w:rsidR="009163D6" w:rsidRPr="007B1947">
        <w:rPr>
          <w:rFonts w:ascii="Times New Roman" w:hAnsi="Times New Roman"/>
          <w:sz w:val="24"/>
          <w:szCs w:val="24"/>
          <w:lang w:eastAsia="ru-RU"/>
        </w:rPr>
        <w:t xml:space="preserve"> </w:t>
      </w:r>
      <w:r w:rsidR="009163D6">
        <w:rPr>
          <w:rFonts w:ascii="Times New Roman" w:hAnsi="Times New Roman"/>
          <w:sz w:val="24"/>
          <w:szCs w:val="24"/>
          <w:lang w:eastAsia="ru-RU"/>
        </w:rPr>
        <w:t>Программы</w:t>
      </w:r>
      <w:r w:rsidR="00C8318A">
        <w:rPr>
          <w:rFonts w:ascii="Times New Roman" w:hAnsi="Times New Roman"/>
          <w:sz w:val="24"/>
          <w:szCs w:val="24"/>
        </w:rPr>
        <w:t xml:space="preserve">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6740AF">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6740AF">
              <w:rPr>
                <w:rFonts w:ascii="Times New Roman" w:hAnsi="Times New Roman"/>
                <w:color w:val="000000"/>
                <w:sz w:val="16"/>
                <w:szCs w:val="16"/>
              </w:rPr>
              <w:t> 411,1</w:t>
            </w:r>
          </w:p>
        </w:tc>
        <w:tc>
          <w:tcPr>
            <w:tcW w:w="850" w:type="dxa"/>
            <w:shd w:val="clear" w:color="auto" w:fill="auto"/>
          </w:tcPr>
          <w:p w:rsidR="009214B2" w:rsidRPr="00B507F2" w:rsidRDefault="00822CEC" w:rsidP="00AA436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AA4367">
              <w:rPr>
                <w:rFonts w:ascii="Times New Roman" w:hAnsi="Times New Roman"/>
                <w:color w:val="000000"/>
                <w:sz w:val="16"/>
                <w:szCs w:val="16"/>
              </w:rPr>
              <w:t>4 195,4</w:t>
            </w:r>
          </w:p>
        </w:tc>
        <w:tc>
          <w:tcPr>
            <w:tcW w:w="851"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AA4367"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822CEC"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3 132,0</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AA4367"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AA4367"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6740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6740AF">
              <w:rPr>
                <w:rFonts w:ascii="Times New Roman" w:eastAsia="Times New Roman" w:hAnsi="Times New Roman"/>
                <w:color w:val="000000"/>
                <w:sz w:val="16"/>
                <w:szCs w:val="16"/>
              </w:rPr>
              <w:t> 205,7</w:t>
            </w:r>
          </w:p>
        </w:tc>
        <w:tc>
          <w:tcPr>
            <w:tcW w:w="850" w:type="dxa"/>
            <w:shd w:val="clear" w:color="auto" w:fill="auto"/>
          </w:tcPr>
          <w:p w:rsidR="009214B2" w:rsidRPr="00B507F2" w:rsidRDefault="006740AF" w:rsidP="00AA436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AA4367">
              <w:rPr>
                <w:rFonts w:ascii="Times New Roman" w:eastAsia="Times New Roman" w:hAnsi="Times New Roman"/>
                <w:color w:val="000000"/>
                <w:sz w:val="16"/>
                <w:szCs w:val="16"/>
              </w:rPr>
              <w:t> </w:t>
            </w:r>
            <w:r w:rsidR="0052727D">
              <w:rPr>
                <w:rFonts w:ascii="Times New Roman" w:eastAsia="Times New Roman" w:hAnsi="Times New Roman"/>
                <w:color w:val="000000"/>
                <w:sz w:val="16"/>
                <w:szCs w:val="16"/>
              </w:rPr>
              <w:t>3</w:t>
            </w:r>
            <w:r w:rsidR="00AA4367">
              <w:rPr>
                <w:rFonts w:ascii="Times New Roman" w:eastAsia="Times New Roman" w:hAnsi="Times New Roman"/>
                <w:color w:val="000000"/>
                <w:sz w:val="16"/>
                <w:szCs w:val="16"/>
              </w:rPr>
              <w:t>09,5</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214B2" w:rsidRPr="00B507F2" w:rsidRDefault="00F3492A" w:rsidP="00AA436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AA4367">
              <w:rPr>
                <w:rFonts w:ascii="Times New Roman" w:eastAsia="Times New Roman" w:hAnsi="Times New Roman"/>
                <w:color w:val="000000"/>
                <w:sz w:val="16"/>
                <w:szCs w:val="16"/>
              </w:rPr>
              <w:t> 451,9</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365CF5" w:rsidRPr="00B507F2" w:rsidRDefault="00F3492A" w:rsidP="00AA436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AA4367">
              <w:rPr>
                <w:rFonts w:ascii="Times New Roman" w:eastAsia="Times New Roman" w:hAnsi="Times New Roman"/>
                <w:color w:val="000000"/>
                <w:sz w:val="16"/>
                <w:szCs w:val="16"/>
              </w:rPr>
              <w:t> 451,9</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5444AB" w:rsidRPr="00B507F2" w:rsidRDefault="00F3492A" w:rsidP="00AA436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AA4367">
              <w:rPr>
                <w:rFonts w:ascii="Times New Roman" w:eastAsia="Times New Roman" w:hAnsi="Times New Roman"/>
                <w:color w:val="000000"/>
                <w:sz w:val="16"/>
                <w:szCs w:val="16"/>
              </w:rPr>
              <w:t> 451,9</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0" w:type="dxa"/>
            <w:shd w:val="clear" w:color="auto" w:fill="auto"/>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350C5" w:rsidRPr="00B507F2" w:rsidRDefault="00F3492A" w:rsidP="00AA436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AA4367">
              <w:rPr>
                <w:rFonts w:ascii="Times New Roman" w:eastAsia="Times New Roman" w:hAnsi="Times New Roman"/>
                <w:color w:val="000000"/>
                <w:sz w:val="16"/>
                <w:szCs w:val="16"/>
              </w:rPr>
              <w:t> 451,9</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2D404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AA436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r w:rsidR="00AA4367">
              <w:rPr>
                <w:rFonts w:ascii="Times New Roman" w:eastAsia="Times New Roman" w:hAnsi="Times New Roman"/>
                <w:color w:val="000000"/>
                <w:sz w:val="16"/>
                <w:szCs w:val="16"/>
              </w:rPr>
              <w:t>69,2</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AA436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r w:rsidR="00AA4367">
              <w:rPr>
                <w:rFonts w:ascii="Times New Roman" w:eastAsia="Times New Roman" w:hAnsi="Times New Roman"/>
                <w:color w:val="000000"/>
                <w:sz w:val="16"/>
                <w:szCs w:val="16"/>
              </w:rPr>
              <w:t>69,2</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w:t>
            </w:r>
            <w:r w:rsidRPr="001F199A">
              <w:rPr>
                <w:rFonts w:ascii="Times New Roman" w:hAnsi="Times New Roman"/>
                <w:sz w:val="16"/>
                <w:szCs w:val="16"/>
                <w:lang w:eastAsia="ru-RU"/>
              </w:rPr>
              <w:lastRenderedPageBreak/>
              <w:t>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F3492A" w:rsidP="00AA436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r w:rsidR="00AA4367">
              <w:rPr>
                <w:rFonts w:ascii="Times New Roman" w:eastAsia="Times New Roman" w:hAnsi="Times New Roman"/>
                <w:color w:val="000000"/>
                <w:sz w:val="16"/>
                <w:szCs w:val="16"/>
              </w:rPr>
              <w:t>69,2</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F3492A" w:rsidP="00AA436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r w:rsidR="00AA4367">
              <w:rPr>
                <w:rFonts w:ascii="Times New Roman" w:eastAsia="Times New Roman" w:hAnsi="Times New Roman"/>
                <w:color w:val="000000"/>
                <w:sz w:val="16"/>
                <w:szCs w:val="16"/>
              </w:rPr>
              <w:t>69,2</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AA4367" w:rsidP="0052727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11 974,3</w:t>
            </w:r>
          </w:p>
        </w:tc>
        <w:tc>
          <w:tcPr>
            <w:tcW w:w="851" w:type="dxa"/>
          </w:tcPr>
          <w:p w:rsidR="001F199A" w:rsidRPr="00BA3FFC" w:rsidRDefault="002D4040"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Default="002D4040" w:rsidP="00BA3FFC">
            <w:pPr>
              <w:spacing w:after="0"/>
              <w:jc w:val="center"/>
              <w:rPr>
                <w:rFonts w:ascii="Times New Roman" w:hAnsi="Times New Roman"/>
                <w:sz w:val="16"/>
                <w:szCs w:val="16"/>
              </w:rPr>
            </w:pPr>
            <w:r>
              <w:rPr>
                <w:rFonts w:ascii="Times New Roman" w:hAnsi="Times New Roman"/>
                <w:sz w:val="16"/>
                <w:szCs w:val="16"/>
              </w:rPr>
              <w:t>596,2</w:t>
            </w:r>
          </w:p>
          <w:p w:rsidR="0052727D" w:rsidRPr="00BA3FFC" w:rsidRDefault="0052727D" w:rsidP="00BA3FFC">
            <w:pPr>
              <w:spacing w:after="0"/>
              <w:jc w:val="center"/>
              <w:rPr>
                <w:rFonts w:ascii="Times New Roman" w:hAnsi="Times New Roman"/>
                <w:sz w:val="16"/>
                <w:szCs w:val="16"/>
              </w:rPr>
            </w:pPr>
            <w:r>
              <w:rPr>
                <w:rFonts w:ascii="Times New Roman" w:hAnsi="Times New Roman"/>
                <w:sz w:val="16"/>
                <w:szCs w:val="16"/>
              </w:rPr>
              <w:t>2 535,8</w:t>
            </w:r>
          </w:p>
        </w:tc>
        <w:tc>
          <w:tcPr>
            <w:tcW w:w="851"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628,3</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649,7</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AA4367"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7 726,9</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AA4367" w:rsidP="00F349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1 027,0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AA4367"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AA4367"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AA4367"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AA436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8 842,3</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AA436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7 726,9</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AA436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1 027,0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AA436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AA436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52727D"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2 535,8</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52727D"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w:t>
            </w:r>
            <w:r>
              <w:rPr>
                <w:rFonts w:ascii="Times New Roman" w:eastAsia="Times New Roman" w:hAnsi="Times New Roman"/>
                <w:color w:val="000000"/>
                <w:sz w:val="16"/>
                <w:szCs w:val="16"/>
              </w:rPr>
              <w:lastRenderedPageBreak/>
              <w:t xml:space="preserve">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Разработка (корректировка) бюджетного прогноза Шумерлинского </w:t>
            </w:r>
            <w:r>
              <w:rPr>
                <w:rFonts w:ascii="Times New Roman" w:eastAsia="Times New Roman" w:hAnsi="Times New Roman"/>
                <w:color w:val="000000"/>
                <w:sz w:val="16"/>
                <w:szCs w:val="16"/>
              </w:rPr>
              <w:lastRenderedPageBreak/>
              <w:t>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9163D6" w:rsidRDefault="00AA4367" w:rsidP="009163D6">
      <w:pPr>
        <w:autoSpaceDE w:val="0"/>
        <w:autoSpaceDN w:val="0"/>
        <w:adjustRightInd w:val="0"/>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Врио</w:t>
      </w:r>
      <w:proofErr w:type="spellEnd"/>
      <w:r>
        <w:rPr>
          <w:rFonts w:ascii="Times New Roman" w:hAnsi="Times New Roman"/>
          <w:sz w:val="24"/>
          <w:szCs w:val="24"/>
          <w:lang w:eastAsia="ru-RU"/>
        </w:rPr>
        <w:t xml:space="preserve"> г</w:t>
      </w:r>
      <w:r w:rsidR="00613303" w:rsidRPr="00613303">
        <w:rPr>
          <w:rFonts w:ascii="Times New Roman" w:hAnsi="Times New Roman"/>
          <w:sz w:val="24"/>
          <w:szCs w:val="24"/>
          <w:lang w:eastAsia="ru-RU"/>
        </w:rPr>
        <w:t>лав</w:t>
      </w:r>
      <w:r>
        <w:rPr>
          <w:rFonts w:ascii="Times New Roman" w:hAnsi="Times New Roman"/>
          <w:sz w:val="24"/>
          <w:szCs w:val="24"/>
          <w:lang w:eastAsia="ru-RU"/>
        </w:rPr>
        <w:t>ы</w:t>
      </w:r>
      <w:r w:rsidR="008133AC">
        <w:rPr>
          <w:rFonts w:ascii="Times New Roman" w:hAnsi="Times New Roman"/>
          <w:sz w:val="24"/>
          <w:szCs w:val="24"/>
          <w:lang w:eastAsia="ru-RU"/>
        </w:rPr>
        <w:t xml:space="preserve"> </w:t>
      </w:r>
      <w:proofErr w:type="spellStart"/>
      <w:r w:rsidR="00613303" w:rsidRPr="00613303">
        <w:rPr>
          <w:rFonts w:ascii="Times New Roman" w:hAnsi="Times New Roman"/>
          <w:sz w:val="24"/>
          <w:szCs w:val="24"/>
          <w:lang w:eastAsia="ru-RU"/>
        </w:rPr>
        <w:t>Шумерлинского</w:t>
      </w:r>
      <w:proofErr w:type="spellEnd"/>
      <w:r w:rsidR="00855598">
        <w:rPr>
          <w:rFonts w:ascii="Times New Roman" w:hAnsi="Times New Roman"/>
          <w:sz w:val="24"/>
          <w:szCs w:val="24"/>
          <w:lang w:eastAsia="ru-RU"/>
        </w:rPr>
        <w:t xml:space="preserve"> </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w:t>
      </w:r>
      <w:r w:rsidR="009163D6">
        <w:rPr>
          <w:rFonts w:ascii="Times New Roman" w:hAnsi="Times New Roman"/>
          <w:sz w:val="24"/>
          <w:szCs w:val="24"/>
          <w:lang w:eastAsia="ru-RU"/>
        </w:rPr>
        <w:t xml:space="preserve">             </w:t>
      </w:r>
      <w:r w:rsidR="00AA4367">
        <w:rPr>
          <w:rFonts w:ascii="Times New Roman" w:hAnsi="Times New Roman"/>
          <w:sz w:val="24"/>
          <w:szCs w:val="24"/>
          <w:lang w:eastAsia="ru-RU"/>
        </w:rPr>
        <w:t>Д.И.Головин</w:t>
      </w: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Pr="008133AC"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RPr="008133AC"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3C" w:rsidRDefault="00C86D3C">
      <w:pPr>
        <w:spacing w:after="0" w:line="240" w:lineRule="auto"/>
      </w:pPr>
      <w:r>
        <w:separator/>
      </w:r>
    </w:p>
  </w:endnote>
  <w:endnote w:type="continuationSeparator" w:id="0">
    <w:p w:rsidR="00C86D3C" w:rsidRDefault="00C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AB" w:rsidRDefault="004F3DAB"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F3DAB" w:rsidRDefault="004F3DAB"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AB" w:rsidRPr="003775CE" w:rsidRDefault="004F3DAB"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AB" w:rsidRPr="001E228C" w:rsidRDefault="004F3DAB"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3C" w:rsidRDefault="00C86D3C">
      <w:pPr>
        <w:spacing w:after="0" w:line="240" w:lineRule="auto"/>
      </w:pPr>
      <w:r>
        <w:separator/>
      </w:r>
    </w:p>
  </w:footnote>
  <w:footnote w:type="continuationSeparator" w:id="0">
    <w:p w:rsidR="00C86D3C" w:rsidRDefault="00C8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AB" w:rsidRDefault="004F3DAB"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4F3DAB" w:rsidRDefault="004F3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AB" w:rsidRPr="00355605" w:rsidRDefault="004F3DAB"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019B"/>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34CC"/>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52E"/>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2EAD"/>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040"/>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3C1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39F1"/>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A29"/>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3DA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27D"/>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5F28"/>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0AF"/>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1701"/>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8E"/>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2CEC"/>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55FBD"/>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22E"/>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0AF"/>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5FE"/>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1C4"/>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67"/>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0DE3"/>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1C3F"/>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3FCA"/>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090"/>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7B1"/>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86D3C"/>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1075"/>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492A"/>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410C5F28FF19E516C8335D774AEB1DAAC5DCD54D36AA0F39D8D102DD6D699EE57763A0307ED5E4D1123A1D1593C1EC33E7DB5B8693A33B547720D25f9w8M" TargetMode="External"/><Relationship Id="rId2" Type="http://schemas.openxmlformats.org/officeDocument/2006/relationships/numbering" Target="numbering.xml"/><Relationship Id="rId16" Type="http://schemas.openxmlformats.org/officeDocument/2006/relationships/hyperlink" Target="consultantplus://offline/ref=31C5284DAE222294F25C44B550A51E6B0192D48CC26E0D69C82A4C9D4B70FDC495FC7881CA05AE1AD022E2E37BBB4621D49B4D4EA949ED3133D21847B9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E990-201A-4C3D-B455-E8095A80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4670</TotalTime>
  <Pages>17</Pages>
  <Words>4937</Words>
  <Characters>28146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Юлия Олеговна Кузьмина</cp:lastModifiedBy>
  <cp:revision>186</cp:revision>
  <cp:lastPrinted>2023-11-08T11:39:00Z</cp:lastPrinted>
  <dcterms:created xsi:type="dcterms:W3CDTF">2019-02-04T11:23:00Z</dcterms:created>
  <dcterms:modified xsi:type="dcterms:W3CDTF">2023-11-14T08:29:00Z</dcterms:modified>
</cp:coreProperties>
</file>