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EC74C0" w:rsidRPr="00476A31" w:rsidTr="003E7010">
        <w:trPr>
          <w:trHeight w:val="1058"/>
        </w:trPr>
        <w:tc>
          <w:tcPr>
            <w:tcW w:w="3888" w:type="dxa"/>
          </w:tcPr>
          <w:p w:rsidR="00EC74C0" w:rsidRPr="00476A31" w:rsidRDefault="00EC74C0" w:rsidP="003E7010">
            <w:pPr>
              <w:jc w:val="center"/>
              <w:rPr>
                <w:rFonts w:ascii="Antiqua Chv" w:hAnsi="Antiqua Chv"/>
                <w:b/>
                <w:caps/>
              </w:rPr>
            </w:pPr>
            <w:r w:rsidRPr="00476A31">
              <w:rPr>
                <w:rFonts w:ascii="Antiqua Chv" w:hAnsi="Antiqua Chv"/>
                <w:b/>
                <w:caps/>
              </w:rPr>
              <w:t>Ч</w:t>
            </w:r>
            <w:r w:rsidRPr="00476A31">
              <w:rPr>
                <w:b/>
                <w:caps/>
              </w:rPr>
              <w:t>Ă</w:t>
            </w:r>
            <w:r>
              <w:rPr>
                <w:rFonts w:ascii="Antiqua Chv" w:hAnsi="Antiqua Chv"/>
                <w:b/>
                <w:caps/>
              </w:rPr>
              <w:t>ваш Республики</w:t>
            </w:r>
          </w:p>
          <w:p w:rsidR="00EC74C0" w:rsidRDefault="00EC74C0" w:rsidP="003E701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3E701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3E7010">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3E7010">
            <w:pPr>
              <w:jc w:val="both"/>
              <w:rPr>
                <w:b/>
              </w:rPr>
            </w:pPr>
          </w:p>
          <w:p w:rsidR="00EC74C0" w:rsidRPr="00476A31" w:rsidRDefault="00EC74C0" w:rsidP="003E7010">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3E7010">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3E7010">
            <w:pPr>
              <w:ind w:left="-108"/>
              <w:jc w:val="center"/>
              <w:rPr>
                <w:b/>
                <w:caps/>
              </w:rPr>
            </w:pPr>
            <w:r w:rsidRPr="00476A31">
              <w:rPr>
                <w:b/>
                <w:caps/>
              </w:rPr>
              <w:t>Чувашская республика</w:t>
            </w:r>
          </w:p>
          <w:p w:rsidR="00EC74C0" w:rsidRPr="00476A31" w:rsidRDefault="00EC74C0" w:rsidP="003E7010">
            <w:pPr>
              <w:ind w:left="-108"/>
              <w:jc w:val="center"/>
              <w:rPr>
                <w:b/>
                <w:caps/>
              </w:rPr>
            </w:pPr>
            <w:r w:rsidRPr="00476A31">
              <w:rPr>
                <w:b/>
                <w:caps/>
              </w:rPr>
              <w:t>АДМИНИСТРАЦИЯ</w:t>
            </w:r>
          </w:p>
          <w:p w:rsidR="00EC74C0" w:rsidRPr="00476A31" w:rsidRDefault="00EC74C0" w:rsidP="003E7010">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3E7010">
            <w:pPr>
              <w:jc w:val="center"/>
              <w:rPr>
                <w:b/>
              </w:rPr>
            </w:pPr>
          </w:p>
          <w:p w:rsidR="00EC74C0" w:rsidRPr="00476A31" w:rsidRDefault="00EC74C0" w:rsidP="003E7010">
            <w:pPr>
              <w:jc w:val="center"/>
              <w:rPr>
                <w:b/>
              </w:rPr>
            </w:pPr>
            <w:r w:rsidRPr="00476A31">
              <w:rPr>
                <w:b/>
              </w:rPr>
              <w:t>ПОСТАНОВЛЕНИЕ</w:t>
            </w:r>
          </w:p>
        </w:tc>
      </w:tr>
      <w:tr w:rsidR="00EC74C0" w:rsidRPr="00476A31" w:rsidTr="003E7010">
        <w:trPr>
          <w:trHeight w:val="439"/>
        </w:trPr>
        <w:tc>
          <w:tcPr>
            <w:tcW w:w="3888" w:type="dxa"/>
          </w:tcPr>
          <w:p w:rsidR="00EC74C0" w:rsidRPr="00476A31" w:rsidRDefault="00EC74C0" w:rsidP="003E7010">
            <w:pPr>
              <w:jc w:val="center"/>
            </w:pPr>
          </w:p>
          <w:p w:rsidR="00EC74C0" w:rsidRPr="00476A31" w:rsidRDefault="00EC74C0" w:rsidP="003E7010">
            <w:pPr>
              <w:jc w:val="center"/>
            </w:pPr>
            <w:r>
              <w:t>___.___.</w:t>
            </w:r>
            <w:r w:rsidRPr="00476A31">
              <w:t>202</w:t>
            </w:r>
            <w:r>
              <w:t xml:space="preserve">3_____ </w:t>
            </w:r>
            <w:r w:rsidRPr="00476A31">
              <w:rPr>
                <w:bCs/>
              </w:rPr>
              <w:t>№</w:t>
            </w:r>
          </w:p>
        </w:tc>
        <w:tc>
          <w:tcPr>
            <w:tcW w:w="1465" w:type="dxa"/>
          </w:tcPr>
          <w:p w:rsidR="00EC74C0" w:rsidRPr="00476A31" w:rsidRDefault="00EC74C0" w:rsidP="003E7010">
            <w:pPr>
              <w:rPr>
                <w:rFonts w:ascii="Journal Chv" w:hAnsi="Journal Chv"/>
                <w:sz w:val="26"/>
                <w:szCs w:val="26"/>
              </w:rPr>
            </w:pPr>
          </w:p>
          <w:p w:rsidR="00EC74C0" w:rsidRPr="00476A31" w:rsidRDefault="00EC74C0" w:rsidP="003E7010">
            <w:pPr>
              <w:jc w:val="both"/>
              <w:rPr>
                <w:rFonts w:ascii="Journal Chv" w:hAnsi="Journal Chv"/>
                <w:sz w:val="26"/>
                <w:szCs w:val="26"/>
              </w:rPr>
            </w:pPr>
          </w:p>
        </w:tc>
        <w:tc>
          <w:tcPr>
            <w:tcW w:w="4111" w:type="dxa"/>
          </w:tcPr>
          <w:p w:rsidR="00EC74C0" w:rsidRPr="00476A31" w:rsidRDefault="00EC74C0" w:rsidP="003E7010">
            <w:pPr>
              <w:jc w:val="center"/>
            </w:pPr>
          </w:p>
          <w:p w:rsidR="00EC74C0" w:rsidRPr="00C12AC2" w:rsidRDefault="00766DC6" w:rsidP="00766DC6">
            <w:pPr>
              <w:jc w:val="center"/>
            </w:pPr>
            <w:r>
              <w:t>27</w:t>
            </w:r>
            <w:r w:rsidR="00EC74C0" w:rsidRPr="000A46B0">
              <w:t>.</w:t>
            </w:r>
            <w:r>
              <w:t>12</w:t>
            </w:r>
            <w:r w:rsidR="00EC74C0" w:rsidRPr="000A46B0">
              <w:t>.2023</w:t>
            </w:r>
            <w:r w:rsidR="00EC74C0" w:rsidRPr="00476A31">
              <w:t xml:space="preserve">  №</w:t>
            </w:r>
            <w:r>
              <w:t>1227</w:t>
            </w:r>
          </w:p>
        </w:tc>
      </w:tr>
      <w:tr w:rsidR="00EC74C0" w:rsidRPr="00476A31" w:rsidTr="003E7010">
        <w:trPr>
          <w:trHeight w:val="122"/>
        </w:trPr>
        <w:tc>
          <w:tcPr>
            <w:tcW w:w="3888" w:type="dxa"/>
          </w:tcPr>
          <w:p w:rsidR="00EC74C0" w:rsidRPr="00476A31" w:rsidRDefault="00EC74C0" w:rsidP="003E7010">
            <w:pPr>
              <w:jc w:val="center"/>
            </w:pPr>
            <w:r w:rsidRPr="00476A31">
              <w:t>Куславкка хули</w:t>
            </w:r>
          </w:p>
        </w:tc>
        <w:tc>
          <w:tcPr>
            <w:tcW w:w="1465" w:type="dxa"/>
          </w:tcPr>
          <w:p w:rsidR="00EC74C0" w:rsidRPr="00476A31" w:rsidRDefault="00EC74C0" w:rsidP="003E7010">
            <w:pPr>
              <w:jc w:val="both"/>
              <w:rPr>
                <w:sz w:val="26"/>
                <w:szCs w:val="26"/>
              </w:rPr>
            </w:pPr>
          </w:p>
        </w:tc>
        <w:tc>
          <w:tcPr>
            <w:tcW w:w="4111" w:type="dxa"/>
          </w:tcPr>
          <w:p w:rsidR="00EC74C0" w:rsidRPr="00476A31" w:rsidRDefault="00EC74C0" w:rsidP="003E7010">
            <w:pPr>
              <w:jc w:val="center"/>
            </w:pPr>
            <w:r w:rsidRPr="00476A31">
              <w:t>г. Козловка</w:t>
            </w:r>
          </w:p>
        </w:tc>
      </w:tr>
    </w:tbl>
    <w:p w:rsidR="003E7010" w:rsidRPr="00EC60AD" w:rsidRDefault="003E7010" w:rsidP="0001027C">
      <w:pPr>
        <w:pStyle w:val="centr"/>
        <w:spacing w:before="0" w:beforeAutospacing="0" w:after="0" w:afterAutospacing="0"/>
        <w:rPr>
          <w:rStyle w:val="a3"/>
          <w:b w:val="0"/>
          <w:sz w:val="12"/>
          <w:szCs w:val="12"/>
        </w:rPr>
      </w:pPr>
    </w:p>
    <w:tbl>
      <w:tblPr>
        <w:tblW w:w="9609" w:type="dxa"/>
        <w:tblLook w:val="01E0"/>
      </w:tblPr>
      <w:tblGrid>
        <w:gridCol w:w="4962"/>
        <w:gridCol w:w="4647"/>
      </w:tblGrid>
      <w:tr w:rsidR="00C12AC2" w:rsidRPr="006F28CC" w:rsidTr="00C12AC2">
        <w:tc>
          <w:tcPr>
            <w:tcW w:w="4962" w:type="dxa"/>
          </w:tcPr>
          <w:p w:rsidR="00C12AC2" w:rsidRPr="006F28CC" w:rsidRDefault="00C12AC2" w:rsidP="00AE78FC">
            <w:pPr>
              <w:jc w:val="both"/>
              <w:rPr>
                <w:sz w:val="25"/>
                <w:szCs w:val="25"/>
              </w:rPr>
            </w:pPr>
          </w:p>
          <w:p w:rsidR="006F28CC" w:rsidRDefault="006F28CC" w:rsidP="006F28CC">
            <w:pPr>
              <w:ind w:right="69"/>
              <w:jc w:val="both"/>
              <w:rPr>
                <w:sz w:val="25"/>
                <w:szCs w:val="25"/>
              </w:rPr>
            </w:pPr>
          </w:p>
          <w:p w:rsidR="00C12AC2" w:rsidRPr="006F28CC" w:rsidRDefault="00C12AC2" w:rsidP="006F28CC">
            <w:pPr>
              <w:ind w:right="69"/>
              <w:jc w:val="both"/>
              <w:rPr>
                <w:sz w:val="25"/>
                <w:szCs w:val="25"/>
              </w:rPr>
            </w:pPr>
            <w:r w:rsidRPr="006F28CC">
              <w:rPr>
                <w:sz w:val="25"/>
                <w:szCs w:val="25"/>
              </w:rPr>
              <w:t>О</w:t>
            </w:r>
            <w:r w:rsidR="006F28CC" w:rsidRPr="006F28CC">
              <w:rPr>
                <w:sz w:val="25"/>
                <w:szCs w:val="25"/>
              </w:rPr>
              <w:t xml:space="preserve">б утверждении </w:t>
            </w:r>
            <w:r w:rsidR="00377F84" w:rsidRPr="00377F84">
              <w:rPr>
                <w:sz w:val="25"/>
                <w:szCs w:val="25"/>
              </w:rPr>
              <w:t xml:space="preserve">Порядка формирования и реализации адресной инвестиционной программы </w:t>
            </w:r>
            <w:r w:rsidR="006F28CC" w:rsidRPr="006F28CC">
              <w:rPr>
                <w:sz w:val="25"/>
                <w:szCs w:val="25"/>
              </w:rPr>
              <w:t xml:space="preserve">Козловского муниципального округа Чувашской Республики </w:t>
            </w:r>
          </w:p>
          <w:p w:rsidR="006F28CC" w:rsidRPr="006F28CC" w:rsidRDefault="006F28CC" w:rsidP="006F28CC">
            <w:pPr>
              <w:ind w:right="69"/>
              <w:jc w:val="both"/>
              <w:rPr>
                <w:sz w:val="25"/>
                <w:szCs w:val="25"/>
              </w:rPr>
            </w:pPr>
          </w:p>
        </w:tc>
        <w:tc>
          <w:tcPr>
            <w:tcW w:w="4647" w:type="dxa"/>
          </w:tcPr>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tc>
      </w:tr>
    </w:tbl>
    <w:p w:rsidR="006F28CC" w:rsidRDefault="006F28CC" w:rsidP="006F28CC">
      <w:pPr>
        <w:ind w:firstLine="567"/>
        <w:jc w:val="both"/>
        <w:rPr>
          <w:sz w:val="25"/>
          <w:szCs w:val="25"/>
        </w:rPr>
      </w:pPr>
      <w:bookmarkStart w:id="0" w:name="sub_3"/>
    </w:p>
    <w:p w:rsidR="006F28CC" w:rsidRDefault="006F28CC" w:rsidP="00377F84">
      <w:pPr>
        <w:ind w:firstLine="567"/>
        <w:jc w:val="both"/>
        <w:rPr>
          <w:sz w:val="25"/>
          <w:szCs w:val="25"/>
        </w:rPr>
      </w:pPr>
    </w:p>
    <w:p w:rsidR="006F28CC" w:rsidRPr="00377F84" w:rsidRDefault="00377F84" w:rsidP="00377F84">
      <w:pPr>
        <w:ind w:firstLine="567"/>
        <w:jc w:val="both"/>
        <w:rPr>
          <w:sz w:val="25"/>
          <w:szCs w:val="25"/>
        </w:rPr>
      </w:pPr>
      <w:r w:rsidRPr="00377F84">
        <w:rPr>
          <w:sz w:val="25"/>
          <w:szCs w:val="25"/>
        </w:rPr>
        <w:t xml:space="preserve">В целях совершенствования процесса и механизмов управления бюджетными инвестициями, формирования и реализации адресной инвестиционной программы </w:t>
      </w:r>
      <w:r w:rsidR="006F28CC" w:rsidRPr="00377F84">
        <w:rPr>
          <w:sz w:val="25"/>
          <w:szCs w:val="25"/>
        </w:rPr>
        <w:t xml:space="preserve">администрация </w:t>
      </w:r>
      <w:r w:rsidR="009A1A6F" w:rsidRPr="00377F84">
        <w:rPr>
          <w:sz w:val="25"/>
          <w:szCs w:val="25"/>
        </w:rPr>
        <w:t>Козлов</w:t>
      </w:r>
      <w:r w:rsidR="006F28CC" w:rsidRPr="00377F84">
        <w:rPr>
          <w:sz w:val="25"/>
          <w:szCs w:val="25"/>
        </w:rPr>
        <w:t>ского муниципального округа Чувашской Республики постановляет:</w:t>
      </w:r>
    </w:p>
    <w:p w:rsidR="006F28CC" w:rsidRPr="006F28CC" w:rsidRDefault="006F28CC" w:rsidP="00377F84">
      <w:pPr>
        <w:ind w:firstLine="567"/>
        <w:jc w:val="both"/>
        <w:rPr>
          <w:sz w:val="25"/>
          <w:szCs w:val="25"/>
        </w:rPr>
      </w:pPr>
      <w:bookmarkStart w:id="1" w:name="sub_1"/>
      <w:r w:rsidRPr="006F28CC">
        <w:rPr>
          <w:sz w:val="25"/>
          <w:szCs w:val="25"/>
        </w:rPr>
        <w:t xml:space="preserve">1. Утвердить Порядок </w:t>
      </w:r>
      <w:r w:rsidR="00377F84" w:rsidRPr="00377F84">
        <w:rPr>
          <w:sz w:val="25"/>
          <w:szCs w:val="25"/>
        </w:rPr>
        <w:t xml:space="preserve">формирования и реализации адресной инвестиционной программы </w:t>
      </w:r>
      <w:r w:rsidR="00377F84" w:rsidRPr="006F28CC">
        <w:rPr>
          <w:sz w:val="25"/>
          <w:szCs w:val="25"/>
        </w:rPr>
        <w:t xml:space="preserve">Козловского муниципального округа Чувашской Республики </w:t>
      </w:r>
      <w:r w:rsidRPr="006F28CC">
        <w:rPr>
          <w:sz w:val="25"/>
          <w:szCs w:val="25"/>
        </w:rPr>
        <w:t xml:space="preserve">согласно </w:t>
      </w:r>
      <w:hyperlink w:anchor="sub_1000" w:history="1">
        <w:r w:rsidRPr="006F28CC">
          <w:rPr>
            <w:rStyle w:val="a6"/>
            <w:rFonts w:cs="Times New Roman CYR"/>
            <w:color w:val="auto"/>
            <w:sz w:val="25"/>
            <w:szCs w:val="25"/>
          </w:rPr>
          <w:t>приложению</w:t>
        </w:r>
      </w:hyperlink>
      <w:r w:rsidRPr="006F28CC">
        <w:rPr>
          <w:sz w:val="25"/>
          <w:szCs w:val="25"/>
        </w:rPr>
        <w:t>.</w:t>
      </w:r>
    </w:p>
    <w:bookmarkEnd w:id="1"/>
    <w:p w:rsidR="00AE78FC" w:rsidRPr="006F28CC" w:rsidRDefault="006F28CC" w:rsidP="00377F84">
      <w:pPr>
        <w:ind w:firstLine="567"/>
        <w:jc w:val="both"/>
        <w:rPr>
          <w:sz w:val="25"/>
          <w:szCs w:val="25"/>
        </w:rPr>
      </w:pPr>
      <w:r>
        <w:rPr>
          <w:sz w:val="25"/>
          <w:szCs w:val="25"/>
        </w:rPr>
        <w:t>2</w:t>
      </w:r>
      <w:r w:rsidR="00AE78FC" w:rsidRPr="006F28CC">
        <w:rPr>
          <w:sz w:val="25"/>
          <w:szCs w:val="25"/>
        </w:rPr>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Чувашской Республики в информационно-телекоммуникационной сети Интернет.</w:t>
      </w:r>
    </w:p>
    <w:p w:rsidR="00AE78FC" w:rsidRPr="006F28CC" w:rsidRDefault="006F28CC" w:rsidP="006F28CC">
      <w:pPr>
        <w:ind w:firstLine="567"/>
        <w:jc w:val="both"/>
        <w:rPr>
          <w:sz w:val="25"/>
          <w:szCs w:val="25"/>
        </w:rPr>
      </w:pPr>
      <w:r>
        <w:rPr>
          <w:sz w:val="25"/>
          <w:szCs w:val="25"/>
        </w:rPr>
        <w:t>3</w:t>
      </w:r>
      <w:r w:rsidR="00AE78FC" w:rsidRPr="006F28CC">
        <w:rPr>
          <w:sz w:val="25"/>
          <w:szCs w:val="25"/>
        </w:rPr>
        <w:t>. Настоящее постановление вступает в силу после его официального опубликования.</w:t>
      </w:r>
    </w:p>
    <w:p w:rsidR="00AE78FC" w:rsidRPr="006F28CC" w:rsidRDefault="006F28CC" w:rsidP="006F28CC">
      <w:pPr>
        <w:tabs>
          <w:tab w:val="left" w:pos="9639"/>
        </w:tabs>
        <w:ind w:firstLine="567"/>
        <w:jc w:val="both"/>
        <w:rPr>
          <w:sz w:val="25"/>
          <w:szCs w:val="25"/>
        </w:rPr>
      </w:pPr>
      <w:r>
        <w:rPr>
          <w:sz w:val="25"/>
          <w:szCs w:val="25"/>
        </w:rPr>
        <w:t>4</w:t>
      </w:r>
      <w:r w:rsidR="00AE78FC" w:rsidRPr="006F28CC">
        <w:rPr>
          <w:sz w:val="25"/>
          <w:szCs w:val="25"/>
        </w:rPr>
        <w:t>. Контроль исполнением настоящего постановления возложить на 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 администрации Козловского муниципального округа Пушкова Г.М.</w:t>
      </w:r>
    </w:p>
    <w:p w:rsidR="00C12AC2" w:rsidRDefault="00C12AC2" w:rsidP="00AE78FC">
      <w:pPr>
        <w:pStyle w:val="af"/>
        <w:jc w:val="both"/>
        <w:rPr>
          <w:sz w:val="25"/>
          <w:szCs w:val="25"/>
        </w:rPr>
      </w:pPr>
    </w:p>
    <w:p w:rsidR="00C17385" w:rsidRDefault="00C17385" w:rsidP="00AE78FC">
      <w:pPr>
        <w:pStyle w:val="af"/>
        <w:jc w:val="both"/>
        <w:rPr>
          <w:sz w:val="25"/>
          <w:szCs w:val="25"/>
        </w:rPr>
      </w:pPr>
    </w:p>
    <w:p w:rsidR="00C17385" w:rsidRDefault="00C17385" w:rsidP="00AE78FC">
      <w:pPr>
        <w:pStyle w:val="af"/>
        <w:jc w:val="both"/>
        <w:rPr>
          <w:sz w:val="25"/>
          <w:szCs w:val="25"/>
        </w:rPr>
      </w:pPr>
    </w:p>
    <w:p w:rsidR="00C17385" w:rsidRDefault="00C17385" w:rsidP="00AE78FC">
      <w:pPr>
        <w:pStyle w:val="af"/>
        <w:jc w:val="both"/>
        <w:rPr>
          <w:sz w:val="25"/>
          <w:szCs w:val="25"/>
        </w:rPr>
      </w:pPr>
    </w:p>
    <w:p w:rsidR="00C17385" w:rsidRPr="006F28CC" w:rsidRDefault="00C17385" w:rsidP="00AE78FC">
      <w:pPr>
        <w:pStyle w:val="af"/>
        <w:jc w:val="both"/>
        <w:rPr>
          <w:sz w:val="25"/>
          <w:szCs w:val="25"/>
        </w:rPr>
      </w:pPr>
    </w:p>
    <w:p w:rsidR="007B348D" w:rsidRPr="006F28CC" w:rsidRDefault="00377F84" w:rsidP="00AE78FC">
      <w:pPr>
        <w:pStyle w:val="af"/>
        <w:jc w:val="both"/>
        <w:rPr>
          <w:sz w:val="25"/>
          <w:szCs w:val="25"/>
        </w:rPr>
      </w:pPr>
      <w:r>
        <w:rPr>
          <w:sz w:val="25"/>
          <w:szCs w:val="25"/>
        </w:rPr>
        <w:t>Глава</w:t>
      </w:r>
    </w:p>
    <w:p w:rsidR="00AE78FC" w:rsidRPr="006F28CC" w:rsidRDefault="00C12AC2" w:rsidP="00AE78FC">
      <w:pPr>
        <w:pStyle w:val="af"/>
        <w:jc w:val="both"/>
        <w:rPr>
          <w:sz w:val="25"/>
          <w:szCs w:val="25"/>
        </w:rPr>
      </w:pPr>
      <w:r w:rsidRPr="006F28CC">
        <w:rPr>
          <w:sz w:val="25"/>
          <w:szCs w:val="25"/>
        </w:rPr>
        <w:t>Козловского</w:t>
      </w:r>
      <w:r w:rsidR="00AE78FC" w:rsidRPr="006F28CC">
        <w:rPr>
          <w:sz w:val="25"/>
          <w:szCs w:val="25"/>
        </w:rPr>
        <w:t>муниципального округа</w:t>
      </w:r>
    </w:p>
    <w:p w:rsidR="00C12AC2" w:rsidRPr="006F28CC" w:rsidRDefault="00AE78FC" w:rsidP="00AE78FC">
      <w:pPr>
        <w:pStyle w:val="af"/>
        <w:jc w:val="both"/>
        <w:rPr>
          <w:sz w:val="25"/>
          <w:szCs w:val="25"/>
        </w:rPr>
      </w:pPr>
      <w:r w:rsidRPr="006F28CC">
        <w:rPr>
          <w:sz w:val="25"/>
          <w:szCs w:val="25"/>
        </w:rPr>
        <w:t>Чувашской Республики</w:t>
      </w:r>
      <w:r w:rsidR="00F223B4">
        <w:rPr>
          <w:sz w:val="25"/>
          <w:szCs w:val="25"/>
        </w:rPr>
        <w:t xml:space="preserve">                                                                                   </w:t>
      </w:r>
      <w:r w:rsidR="00377F84">
        <w:rPr>
          <w:sz w:val="25"/>
          <w:szCs w:val="25"/>
        </w:rPr>
        <w:t>А.Н. Людков</w:t>
      </w:r>
    </w:p>
    <w:p w:rsidR="00C12AC2" w:rsidRPr="006F28CC" w:rsidRDefault="00C12AC2" w:rsidP="00AE78FC">
      <w:pPr>
        <w:pStyle w:val="af"/>
        <w:jc w:val="both"/>
        <w:rPr>
          <w:sz w:val="25"/>
          <w:szCs w:val="25"/>
        </w:rPr>
      </w:pPr>
    </w:p>
    <w:p w:rsidR="00C12AC2" w:rsidRDefault="00C12AC2" w:rsidP="00AE78FC">
      <w:pPr>
        <w:shd w:val="clear" w:color="auto" w:fill="FFFFFF"/>
        <w:spacing w:after="240" w:line="330" w:lineRule="atLeast"/>
        <w:jc w:val="both"/>
        <w:rPr>
          <w:sz w:val="25"/>
          <w:szCs w:val="25"/>
        </w:rPr>
      </w:pPr>
    </w:p>
    <w:p w:rsidR="00377F84" w:rsidRDefault="00377F84" w:rsidP="00377F84"/>
    <w:p w:rsidR="00377F84" w:rsidRDefault="00377F84" w:rsidP="00377F84"/>
    <w:p w:rsidR="00377F84" w:rsidRDefault="00377F84" w:rsidP="00377F84"/>
    <w:p w:rsidR="00377F84" w:rsidRDefault="00377F84" w:rsidP="00377F84"/>
    <w:p w:rsidR="00377F84" w:rsidRDefault="00377F84" w:rsidP="00377F84"/>
    <w:p w:rsidR="00377F84" w:rsidRPr="00377F84" w:rsidRDefault="00377F84" w:rsidP="00377F84">
      <w:pPr>
        <w:jc w:val="right"/>
        <w:rPr>
          <w:rStyle w:val="af1"/>
          <w:b w:val="0"/>
        </w:rPr>
      </w:pPr>
      <w:bookmarkStart w:id="2" w:name="sub_1000"/>
      <w:r w:rsidRPr="00377F84">
        <w:rPr>
          <w:rStyle w:val="af1"/>
          <w:b w:val="0"/>
        </w:rPr>
        <w:t>Утвержден</w:t>
      </w:r>
      <w:r w:rsidRPr="00377F84">
        <w:rPr>
          <w:rStyle w:val="af1"/>
          <w:b w:val="0"/>
        </w:rPr>
        <w:br/>
        <w:t>постановлением администрации</w:t>
      </w:r>
      <w:r w:rsidRPr="00377F84">
        <w:rPr>
          <w:rStyle w:val="af1"/>
          <w:b w:val="0"/>
        </w:rPr>
        <w:br/>
      </w:r>
      <w:r>
        <w:rPr>
          <w:rStyle w:val="af1"/>
          <w:b w:val="0"/>
        </w:rPr>
        <w:t>Козлов</w:t>
      </w:r>
      <w:r w:rsidRPr="00377F84">
        <w:rPr>
          <w:rStyle w:val="af1"/>
          <w:b w:val="0"/>
        </w:rPr>
        <w:t>ского муниципального округа</w:t>
      </w:r>
      <w:r w:rsidRPr="00377F84">
        <w:rPr>
          <w:rStyle w:val="af1"/>
          <w:b w:val="0"/>
        </w:rPr>
        <w:br/>
        <w:t>Чувашской Республики</w:t>
      </w:r>
      <w:r w:rsidRPr="00377F84">
        <w:rPr>
          <w:rStyle w:val="af1"/>
          <w:b w:val="0"/>
        </w:rPr>
        <w:br/>
        <w:t xml:space="preserve">от </w:t>
      </w:r>
      <w:r w:rsidR="00766DC6">
        <w:rPr>
          <w:rStyle w:val="af1"/>
          <w:b w:val="0"/>
        </w:rPr>
        <w:t>27</w:t>
      </w:r>
      <w:r w:rsidRPr="00377F84">
        <w:rPr>
          <w:rStyle w:val="af1"/>
          <w:b w:val="0"/>
        </w:rPr>
        <w:t>.</w:t>
      </w:r>
      <w:r w:rsidR="00766DC6">
        <w:rPr>
          <w:rStyle w:val="af1"/>
          <w:b w:val="0"/>
        </w:rPr>
        <w:t>12</w:t>
      </w:r>
      <w:r w:rsidRPr="00377F84">
        <w:rPr>
          <w:rStyle w:val="af1"/>
          <w:b w:val="0"/>
        </w:rPr>
        <w:t xml:space="preserve">.2023 г. </w:t>
      </w:r>
      <w:r w:rsidR="00766DC6">
        <w:rPr>
          <w:rStyle w:val="af1"/>
          <w:b w:val="0"/>
        </w:rPr>
        <w:t>№1227</w:t>
      </w:r>
    </w:p>
    <w:bookmarkEnd w:id="2"/>
    <w:p w:rsidR="00377F84" w:rsidRDefault="00377F84" w:rsidP="00377F84"/>
    <w:p w:rsidR="00377F84" w:rsidRPr="00377F84" w:rsidRDefault="00377F84" w:rsidP="00377F84">
      <w:pPr>
        <w:pStyle w:val="1"/>
        <w:rPr>
          <w:u w:val="none"/>
        </w:rPr>
      </w:pPr>
      <w:r w:rsidRPr="00377F84">
        <w:rPr>
          <w:u w:val="none"/>
        </w:rPr>
        <w:t>Порядок</w:t>
      </w:r>
      <w:r w:rsidRPr="00377F84">
        <w:rPr>
          <w:u w:val="none"/>
        </w:rPr>
        <w:br/>
        <w:t>формирования и реализации адресной инвестиционной программы Козловского муниципального округа Чувашской Республики</w:t>
      </w:r>
    </w:p>
    <w:p w:rsidR="00377F84" w:rsidRDefault="00377F84" w:rsidP="00377F84"/>
    <w:p w:rsidR="00377F84" w:rsidRPr="00377F84" w:rsidRDefault="00377F84" w:rsidP="00377F84">
      <w:pPr>
        <w:pStyle w:val="1"/>
        <w:rPr>
          <w:u w:val="none"/>
        </w:rPr>
      </w:pPr>
      <w:r w:rsidRPr="00377F84">
        <w:rPr>
          <w:u w:val="none"/>
        </w:rPr>
        <w:t>1. Общие положения</w:t>
      </w:r>
    </w:p>
    <w:p w:rsidR="00377F84" w:rsidRDefault="00377F84" w:rsidP="00377F84"/>
    <w:p w:rsidR="00377F84" w:rsidRPr="00377F84" w:rsidRDefault="00377F84" w:rsidP="00377F84">
      <w:pPr>
        <w:ind w:firstLine="567"/>
        <w:jc w:val="both"/>
      </w:pPr>
      <w:bookmarkStart w:id="3" w:name="sub_11"/>
      <w:r w:rsidRPr="00377F84">
        <w:t>1.1. В целях настоящего Порядка формирования и реализации адресной инвестиционной программы Козловского муниципального округа Чувашской Республики (далее - Порядок) применяются следующие понятия:</w:t>
      </w:r>
    </w:p>
    <w:bookmarkEnd w:id="3"/>
    <w:p w:rsidR="00377F84" w:rsidRPr="00377F84" w:rsidRDefault="00377F84" w:rsidP="00377F84">
      <w:pPr>
        <w:ind w:firstLine="567"/>
        <w:jc w:val="both"/>
      </w:pPr>
      <w:r w:rsidRPr="00377F84">
        <w:rPr>
          <w:rStyle w:val="af1"/>
          <w:b w:val="0"/>
        </w:rPr>
        <w:t>адресная инвестиционная программа Козловского муниципального округа Чувашской Республики</w:t>
      </w:r>
      <w:r w:rsidRPr="00377F84">
        <w:rPr>
          <w:rStyle w:val="af1"/>
        </w:rPr>
        <w:t xml:space="preserve"> </w:t>
      </w:r>
      <w:r w:rsidRPr="00377F84">
        <w:t>(далее - адресная инвестиционная программа) - документ, устанавливающий распределение ассигнований, предусмотренных в бюджете Козловского муниципального округа Чувашской Республики (далее - местный бюджет) в разрезе муниципальных программ (подпрограмм) Козловского муниципального округа Чувашской Республики и непрограммной части на осуществление бюджетных инвестиций в форме капитальных вложений в объекты муниципальной собственности и на софинансирование капитальных вложений в объекты муниципальной собственности;</w:t>
      </w:r>
    </w:p>
    <w:p w:rsidR="00377F84" w:rsidRPr="00377F84" w:rsidRDefault="00377F84" w:rsidP="00377F84">
      <w:pPr>
        <w:ind w:firstLine="567"/>
        <w:jc w:val="both"/>
      </w:pPr>
      <w:r w:rsidRPr="00377F84">
        <w:rPr>
          <w:rStyle w:val="af1"/>
          <w:b w:val="0"/>
        </w:rPr>
        <w:t>объект</w:t>
      </w:r>
      <w:r>
        <w:rPr>
          <w:rStyle w:val="af1"/>
          <w:b w:val="0"/>
        </w:rPr>
        <w:t>ы</w:t>
      </w:r>
      <w:r w:rsidRPr="00377F84">
        <w:rPr>
          <w:rStyle w:val="af1"/>
          <w:b w:val="0"/>
        </w:rPr>
        <w:t xml:space="preserve"> инвестиций</w:t>
      </w:r>
      <w:r w:rsidRPr="00377F84">
        <w:t xml:space="preserve"> - объекты капитального строительства, строительство, реконструкция (в том числе разработка проектно-сметной документации), техническое перевооружение (модернизация) или приобретение которых планируется осуществить полностью или частично за счет средств местного бюджета.</w:t>
      </w:r>
    </w:p>
    <w:p w:rsidR="00377F84" w:rsidRPr="00377F84" w:rsidRDefault="00377F84" w:rsidP="00377F84">
      <w:pPr>
        <w:ind w:firstLine="567"/>
        <w:jc w:val="both"/>
      </w:pPr>
      <w:bookmarkStart w:id="4" w:name="sub_12"/>
      <w:r w:rsidRPr="00377F84">
        <w:t>1.2. Адресная инвестиционная программа формируется ежегодно на очередной финансовый год и плановый период, устанавливает распределение между главными распорядителями бюджетных ассигнований на осуществление бюджетных инвестиций, субсидий в объекты муниципальной собственности Козловского муниципального округа и утверждается решением администрации Козловского муниципального округа Чувашской Республики.</w:t>
      </w:r>
    </w:p>
    <w:p w:rsidR="00377F84" w:rsidRPr="00377F84" w:rsidRDefault="00377F84" w:rsidP="00377F84">
      <w:pPr>
        <w:ind w:firstLine="567"/>
        <w:jc w:val="both"/>
      </w:pPr>
      <w:bookmarkStart w:id="5" w:name="sub_13"/>
      <w:bookmarkEnd w:id="4"/>
      <w:r w:rsidRPr="00377F84">
        <w:t xml:space="preserve">1.3. Перечни объектов инвестиций для включения в адресную инвестиционную программу формируются на основе заявок по форме согласно </w:t>
      </w:r>
      <w:hyperlink w:anchor="sub_1100" w:history="1">
        <w:r w:rsidRPr="00377F84">
          <w:rPr>
            <w:rStyle w:val="a6"/>
            <w:color w:val="auto"/>
          </w:rPr>
          <w:t>приложению 1</w:t>
        </w:r>
      </w:hyperlink>
      <w:r w:rsidRPr="00377F84">
        <w:t xml:space="preserve"> к настоящему Порядку. Объем финансирования по каждому объекту инвестиций указывается на период до завершения строительства объекта. В случае выполнения проектно-изыскательских работ объем финансирования указывается исходя из планируемой сметной стоимости строительства и корректируется после получения положительного заключения государственной экспертизы по результатам проверки достоверности определения сметной стоимости.</w:t>
      </w:r>
    </w:p>
    <w:bookmarkEnd w:id="5"/>
    <w:p w:rsidR="00377F84" w:rsidRPr="00377F84" w:rsidRDefault="00377F84" w:rsidP="00377F84">
      <w:pPr>
        <w:ind w:firstLine="567"/>
        <w:jc w:val="both"/>
      </w:pPr>
    </w:p>
    <w:p w:rsidR="00377F84" w:rsidRPr="00377F84" w:rsidRDefault="00377F84" w:rsidP="00377F84">
      <w:pPr>
        <w:pStyle w:val="1"/>
        <w:ind w:firstLine="567"/>
        <w:jc w:val="both"/>
        <w:rPr>
          <w:u w:val="none"/>
        </w:rPr>
      </w:pPr>
      <w:r w:rsidRPr="00377F84">
        <w:rPr>
          <w:u w:val="none"/>
        </w:rPr>
        <w:t>2. Порядок формирования адресной инвестиционной программы</w:t>
      </w:r>
    </w:p>
    <w:p w:rsidR="00377F84" w:rsidRPr="00377F84" w:rsidRDefault="00377F84" w:rsidP="00377F84">
      <w:pPr>
        <w:ind w:firstLine="567"/>
        <w:jc w:val="both"/>
      </w:pPr>
    </w:p>
    <w:p w:rsidR="00377F84" w:rsidRPr="00377F84" w:rsidRDefault="00377F84" w:rsidP="00377F84">
      <w:pPr>
        <w:ind w:firstLine="567"/>
        <w:jc w:val="both"/>
      </w:pPr>
      <w:bookmarkStart w:id="6" w:name="sub_21"/>
      <w:r w:rsidRPr="00377F84">
        <w:t>2.1. Формирование адресной инвестиционной программы на очередной финансовый год и на плановый период осуществляется в сроки, устанавливаемые распоряжением администрации Козловского муниципального округа Чувашской Республики (далее - Администрация) об утверждении плана-графика подготовки проекта местного бюджета.</w:t>
      </w:r>
    </w:p>
    <w:p w:rsidR="00377F84" w:rsidRPr="00377F84" w:rsidRDefault="00377F84" w:rsidP="00377F84">
      <w:pPr>
        <w:ind w:firstLine="567"/>
        <w:jc w:val="both"/>
      </w:pPr>
      <w:bookmarkStart w:id="7" w:name="sub_22"/>
      <w:bookmarkEnd w:id="6"/>
      <w:r w:rsidRPr="00377F84">
        <w:t>2.2. По вопросам формирования предложений к проекту адресной инвестиционной программы главные распорядители средств местного бюджета взаимодействуют с ответственными исполнителями (соисполнителями) муниципальных программ (подпрограмм муниципальных программ).</w:t>
      </w:r>
    </w:p>
    <w:p w:rsidR="00377F84" w:rsidRPr="00377F84" w:rsidRDefault="00377F84" w:rsidP="00377F84">
      <w:pPr>
        <w:ind w:firstLine="567"/>
        <w:jc w:val="both"/>
      </w:pPr>
      <w:bookmarkStart w:id="8" w:name="sub_23"/>
      <w:bookmarkEnd w:id="7"/>
      <w:r w:rsidRPr="00377F84">
        <w:t>2.3. Адресная инвестиционная программа на очередной финансовый год и на плановый период формируется в порядке приоритетности:</w:t>
      </w:r>
    </w:p>
    <w:p w:rsidR="00377F84" w:rsidRPr="00377F84" w:rsidRDefault="00377F84" w:rsidP="00377F84">
      <w:pPr>
        <w:ind w:firstLine="567"/>
        <w:jc w:val="both"/>
      </w:pPr>
      <w:bookmarkStart w:id="9" w:name="sub_231"/>
      <w:bookmarkEnd w:id="8"/>
      <w:r w:rsidRPr="00377F84">
        <w:t>а) объектов инвестиций, входящие в состав федеральных и республиканских адресных инвестиционных программ и (или) подлежащие софинансированию;</w:t>
      </w:r>
    </w:p>
    <w:p w:rsidR="00377F84" w:rsidRPr="00377F84" w:rsidRDefault="00377F84" w:rsidP="00377F84">
      <w:pPr>
        <w:ind w:firstLine="567"/>
        <w:jc w:val="both"/>
      </w:pPr>
      <w:bookmarkStart w:id="10" w:name="sub_232"/>
      <w:bookmarkEnd w:id="9"/>
      <w:r w:rsidRPr="00377F84">
        <w:t>б) объектов инвестиций, по которым в текущем финансовом году запланировано финансирование строительно-монтажных работ за счет средств местного бюджета, завершение строительства которых запланировано в очередном финансовом году или в плановом периоде;</w:t>
      </w:r>
    </w:p>
    <w:p w:rsidR="00377F84" w:rsidRPr="00377F84" w:rsidRDefault="00377F84" w:rsidP="00377F84">
      <w:pPr>
        <w:ind w:firstLine="567"/>
        <w:jc w:val="both"/>
      </w:pPr>
      <w:bookmarkStart w:id="11" w:name="sub_233"/>
      <w:bookmarkEnd w:id="10"/>
      <w:r w:rsidRPr="00377F84">
        <w:t>в) объектов инвестиций, по которым в текущем финансовом году запланировано финансирование проектно-изыскательских работ за счет средств местного бюджета;</w:t>
      </w:r>
    </w:p>
    <w:p w:rsidR="00377F84" w:rsidRPr="00377F84" w:rsidRDefault="00377F84" w:rsidP="00377F84">
      <w:pPr>
        <w:ind w:firstLine="567"/>
        <w:jc w:val="both"/>
      </w:pPr>
      <w:bookmarkStart w:id="12" w:name="sub_234"/>
      <w:bookmarkEnd w:id="11"/>
      <w:r w:rsidRPr="00377F84">
        <w:t>г) вновь начинаемых объектов инвестиций, предлагаемых к финансированию за счет средств местного бюджета с очередного финансового года (в том числе в части начала разработки проектно-сметной документации).</w:t>
      </w:r>
    </w:p>
    <w:p w:rsidR="00377F84" w:rsidRPr="00377F84" w:rsidRDefault="00377F84" w:rsidP="00377F84">
      <w:pPr>
        <w:ind w:firstLine="567"/>
        <w:jc w:val="both"/>
      </w:pPr>
      <w:bookmarkStart w:id="13" w:name="sub_24"/>
      <w:bookmarkEnd w:id="12"/>
      <w:r w:rsidRPr="00377F84">
        <w:t>2.4. К заявке на включение объектов инвестиций в адресную инвестиционную программу прилагаются следующие документы:</w:t>
      </w:r>
    </w:p>
    <w:p w:rsidR="00377F84" w:rsidRPr="00377F84" w:rsidRDefault="00377F84" w:rsidP="00377F84">
      <w:pPr>
        <w:ind w:firstLine="567"/>
        <w:jc w:val="both"/>
      </w:pPr>
      <w:bookmarkStart w:id="14" w:name="sub_241"/>
      <w:bookmarkEnd w:id="13"/>
      <w:r w:rsidRPr="00377F84">
        <w:t>а) обоснования (расчеты) влияния ввода в эксплуатацию объекта инвестиций на индикаторы муниципальных программ и их подпрограмм;</w:t>
      </w:r>
    </w:p>
    <w:p w:rsidR="00377F84" w:rsidRPr="00377F84" w:rsidRDefault="00377F84" w:rsidP="00377F84">
      <w:pPr>
        <w:ind w:firstLine="567"/>
        <w:jc w:val="both"/>
      </w:pPr>
      <w:bookmarkStart w:id="15" w:name="sub_242"/>
      <w:bookmarkEnd w:id="14"/>
      <w:r w:rsidRPr="00377F84">
        <w:t xml:space="preserve">б) технико-экономического обоснования необходимости строительства (реконструкции, приобретения) объекта инвестиций по форме согласно </w:t>
      </w:r>
      <w:hyperlink w:anchor="sub_1200" w:history="1">
        <w:r w:rsidRPr="00377F84">
          <w:rPr>
            <w:rStyle w:val="a6"/>
          </w:rPr>
          <w:t>приложению 2</w:t>
        </w:r>
      </w:hyperlink>
      <w:r w:rsidRPr="00377F84">
        <w:t xml:space="preserve"> к настоящему Порядку;</w:t>
      </w:r>
    </w:p>
    <w:p w:rsidR="00377F84" w:rsidRPr="00377F84" w:rsidRDefault="00377F84" w:rsidP="00377F84">
      <w:pPr>
        <w:ind w:firstLine="567"/>
        <w:jc w:val="both"/>
      </w:pPr>
      <w:bookmarkStart w:id="16" w:name="sub_243"/>
      <w:bookmarkEnd w:id="15"/>
      <w:r w:rsidRPr="00377F84">
        <w:t>в) расчеты ежегодных эксплуатационных расходов и расходов на материально-техническое обеспечение объекта инвестиций после ввода его в эксплуатацию.</w:t>
      </w:r>
    </w:p>
    <w:p w:rsidR="00377F84" w:rsidRPr="00377F84" w:rsidRDefault="00377F84" w:rsidP="00377F84">
      <w:pPr>
        <w:ind w:firstLine="567"/>
        <w:jc w:val="both"/>
      </w:pPr>
      <w:bookmarkStart w:id="17" w:name="sub_244"/>
      <w:bookmarkEnd w:id="16"/>
      <w:r w:rsidRPr="00377F84">
        <w:t xml:space="preserve">г) положительное заключение государственной экспертизы по результатам рассмотрения проектной документации (если оно требуется в соответствии с </w:t>
      </w:r>
      <w:hyperlink r:id="rId9" w:history="1">
        <w:r w:rsidRPr="00377F84">
          <w:rPr>
            <w:rStyle w:val="a6"/>
            <w:color w:val="auto"/>
          </w:rPr>
          <w:t>Градостроительным кодексом</w:t>
        </w:r>
      </w:hyperlink>
      <w:r w:rsidRPr="00377F84">
        <w:t xml:space="preserve"> Российской Федерации);</w:t>
      </w:r>
    </w:p>
    <w:p w:rsidR="00377F84" w:rsidRPr="00377F84" w:rsidRDefault="00377F84" w:rsidP="00377F84">
      <w:pPr>
        <w:ind w:firstLine="567"/>
        <w:jc w:val="both"/>
      </w:pPr>
      <w:bookmarkStart w:id="18" w:name="sub_245"/>
      <w:bookmarkEnd w:id="17"/>
      <w:r w:rsidRPr="00377F84">
        <w:t>д) правоустанавливающие документы на земельные участки, здания и сооружения.</w:t>
      </w:r>
    </w:p>
    <w:bookmarkEnd w:id="18"/>
    <w:p w:rsidR="00377F84" w:rsidRPr="00377F84" w:rsidRDefault="00377F84" w:rsidP="00377F84">
      <w:pPr>
        <w:ind w:firstLine="567"/>
        <w:jc w:val="both"/>
      </w:pPr>
    </w:p>
    <w:p w:rsidR="00377F84" w:rsidRPr="00377F84" w:rsidRDefault="00377F84" w:rsidP="00377F84">
      <w:pPr>
        <w:pStyle w:val="1"/>
        <w:ind w:firstLine="567"/>
        <w:jc w:val="both"/>
        <w:rPr>
          <w:u w:val="none"/>
        </w:rPr>
      </w:pPr>
      <w:r w:rsidRPr="00377F84">
        <w:rPr>
          <w:u w:val="none"/>
        </w:rPr>
        <w:t>3. Порядок реализации адресной инвестиционной программы</w:t>
      </w:r>
    </w:p>
    <w:p w:rsidR="00377F84" w:rsidRPr="00377F84" w:rsidRDefault="00377F84" w:rsidP="00377F84">
      <w:pPr>
        <w:ind w:firstLine="567"/>
        <w:jc w:val="both"/>
      </w:pPr>
    </w:p>
    <w:p w:rsidR="00377F84" w:rsidRPr="00377F84" w:rsidRDefault="00377F84" w:rsidP="00377F84">
      <w:pPr>
        <w:ind w:firstLine="567"/>
        <w:jc w:val="both"/>
      </w:pPr>
      <w:bookmarkStart w:id="19" w:name="sub_31"/>
      <w:r w:rsidRPr="00377F84">
        <w:t>3.1. Адресная инвестиционная программа реализуется на основе муниципальных программ (подпрограмм), утверждаемых постановлением Администрации.</w:t>
      </w:r>
    </w:p>
    <w:p w:rsidR="00377F84" w:rsidRPr="00377F84" w:rsidRDefault="00377F84" w:rsidP="00377F84">
      <w:pPr>
        <w:ind w:firstLine="567"/>
        <w:jc w:val="both"/>
      </w:pPr>
      <w:bookmarkStart w:id="20" w:name="sub_32"/>
      <w:bookmarkEnd w:id="19"/>
      <w:r w:rsidRPr="00377F84">
        <w:t>3.2. Финансирование осуществляется в соответствии с объемами средств, предусмотренными сводной бюджетной росписью местного бюджета, в пределах лимитов бюджетных обязательств и в соответствии с условиями заключенных муниципальных контрактов, соглашений о предоставлении субсидий.</w:t>
      </w:r>
    </w:p>
    <w:bookmarkEnd w:id="20"/>
    <w:p w:rsidR="00377F84" w:rsidRPr="00377F84" w:rsidRDefault="00377F84" w:rsidP="00377F84">
      <w:pPr>
        <w:ind w:firstLine="567"/>
        <w:jc w:val="both"/>
      </w:pPr>
    </w:p>
    <w:p w:rsidR="00377F84" w:rsidRPr="00377F84" w:rsidRDefault="00377F84" w:rsidP="00377F84">
      <w:pPr>
        <w:pStyle w:val="1"/>
        <w:ind w:firstLine="567"/>
        <w:jc w:val="both"/>
        <w:rPr>
          <w:u w:val="none"/>
        </w:rPr>
      </w:pPr>
      <w:r w:rsidRPr="00377F84">
        <w:rPr>
          <w:u w:val="none"/>
        </w:rPr>
        <w:t>4. Порядок внесения изменений в адресную инвестиционную программу</w:t>
      </w:r>
    </w:p>
    <w:p w:rsidR="00377F84" w:rsidRPr="00377F84" w:rsidRDefault="00377F84" w:rsidP="00377F84">
      <w:pPr>
        <w:ind w:firstLine="567"/>
        <w:jc w:val="both"/>
      </w:pPr>
    </w:p>
    <w:p w:rsidR="00377F84" w:rsidRPr="00377F84" w:rsidRDefault="00377F84" w:rsidP="00377F84">
      <w:pPr>
        <w:ind w:firstLine="567"/>
        <w:jc w:val="both"/>
      </w:pPr>
      <w:bookmarkStart w:id="21" w:name="sub_41"/>
      <w:r w:rsidRPr="00377F84">
        <w:t>4.1. В ходе реализации адресной инвестиционной программы в нее могут быть внесены следующие изменения:</w:t>
      </w:r>
    </w:p>
    <w:p w:rsidR="00377F84" w:rsidRPr="00377F84" w:rsidRDefault="00377F84" w:rsidP="00377F84">
      <w:pPr>
        <w:ind w:firstLine="567"/>
        <w:jc w:val="both"/>
      </w:pPr>
      <w:bookmarkStart w:id="22" w:name="sub_411"/>
      <w:bookmarkEnd w:id="21"/>
      <w:r w:rsidRPr="00377F84">
        <w:t>а) в связи с исключением отдельных объектов инвестиций, финансирование которых предусмотрено на текущий финансовый год;</w:t>
      </w:r>
    </w:p>
    <w:p w:rsidR="00377F84" w:rsidRPr="00377F84" w:rsidRDefault="00377F84" w:rsidP="00377F84">
      <w:pPr>
        <w:ind w:firstLine="567"/>
        <w:jc w:val="both"/>
      </w:pPr>
      <w:bookmarkStart w:id="23" w:name="sub_412"/>
      <w:bookmarkEnd w:id="22"/>
      <w:r w:rsidRPr="00377F84">
        <w:t>б) в связи с изменением сроков предполагаемого начала и окончания финансирования объектов инвестиций;</w:t>
      </w:r>
    </w:p>
    <w:p w:rsidR="00377F84" w:rsidRPr="00377F84" w:rsidRDefault="00377F84" w:rsidP="00377F84">
      <w:pPr>
        <w:ind w:firstLine="567"/>
        <w:jc w:val="both"/>
      </w:pPr>
      <w:bookmarkStart w:id="24" w:name="sub_413"/>
      <w:bookmarkEnd w:id="23"/>
      <w:r w:rsidRPr="00377F84">
        <w:t>в) в связи с перераспределением средств местного, республиканского, федерального бюджета, запланированных на осуществление бюджетных инвестиций, между отдельными объектами инвестиций;</w:t>
      </w:r>
    </w:p>
    <w:p w:rsidR="00377F84" w:rsidRPr="00377F84" w:rsidRDefault="00377F84" w:rsidP="00377F84">
      <w:pPr>
        <w:ind w:firstLine="567"/>
        <w:jc w:val="both"/>
      </w:pPr>
      <w:bookmarkStart w:id="25" w:name="sub_414"/>
      <w:bookmarkEnd w:id="24"/>
      <w:r w:rsidRPr="00377F84">
        <w:t>г) в связи с изменением плановых объемов финансирования объектов инвестиций за счет средств местного, республиканского, федерального бюджета (в том числе по итогам заключения муниципальных контрактов, разработки проектной документации);</w:t>
      </w:r>
    </w:p>
    <w:p w:rsidR="00377F84" w:rsidRPr="00377F84" w:rsidRDefault="00377F84" w:rsidP="00377F84">
      <w:pPr>
        <w:ind w:firstLine="567"/>
        <w:jc w:val="both"/>
      </w:pPr>
      <w:bookmarkStart w:id="26" w:name="sub_415"/>
      <w:bookmarkEnd w:id="25"/>
      <w:r w:rsidRPr="00377F84">
        <w:t>д) в связи с включением вновь начинаемых объектов инвестиций.</w:t>
      </w:r>
    </w:p>
    <w:p w:rsidR="00377F84" w:rsidRPr="00377F84" w:rsidRDefault="00377F84" w:rsidP="00377F84">
      <w:pPr>
        <w:ind w:firstLine="567"/>
        <w:jc w:val="both"/>
      </w:pPr>
      <w:bookmarkStart w:id="27" w:name="sub_42"/>
      <w:bookmarkEnd w:id="26"/>
      <w:r w:rsidRPr="00377F84">
        <w:t>4.2. Внесение изменений в адресную инвестиционную программу осуществляется в рамках внесения изменений в решение Собрания депутатов Козловского муниципального округа о местном бюджете на очередной (текущий) финансовый год и на плановый период.</w:t>
      </w:r>
    </w:p>
    <w:p w:rsidR="00377F84" w:rsidRPr="00377F84" w:rsidRDefault="00377F84" w:rsidP="00377F84">
      <w:pPr>
        <w:ind w:firstLine="567"/>
        <w:jc w:val="both"/>
      </w:pPr>
      <w:bookmarkStart w:id="28" w:name="sub_43"/>
      <w:bookmarkEnd w:id="27"/>
      <w:r w:rsidRPr="00377F84">
        <w:t>4.3. В ходе исполнения местного бюджета в перечни объектов адресной инвестиционной программы могут быть внесены изменения, не связанные с изменением адресной инвестиционной программы, в том числе:</w:t>
      </w:r>
    </w:p>
    <w:p w:rsidR="00377F84" w:rsidRPr="00377F84" w:rsidRDefault="00377F84" w:rsidP="00377F84">
      <w:pPr>
        <w:ind w:firstLine="567"/>
        <w:jc w:val="both"/>
      </w:pPr>
      <w:bookmarkStart w:id="29" w:name="sub_431"/>
      <w:bookmarkEnd w:id="28"/>
      <w:r w:rsidRPr="00377F84">
        <w:t>а) перераспределение средств местного бюджета между отдельными объектами инвестиций в рамках одной муниципальной программы (подпрограммы);</w:t>
      </w:r>
    </w:p>
    <w:p w:rsidR="00377F84" w:rsidRPr="00377F84" w:rsidRDefault="00377F84" w:rsidP="00377F84">
      <w:pPr>
        <w:ind w:firstLine="567"/>
        <w:jc w:val="both"/>
      </w:pPr>
      <w:bookmarkStart w:id="30" w:name="sub_432"/>
      <w:bookmarkEnd w:id="29"/>
      <w:r w:rsidRPr="00377F84">
        <w:t>б) иные изменения, не связанные с изменением адресной инвестиционной программы.</w:t>
      </w:r>
    </w:p>
    <w:bookmarkEnd w:id="30"/>
    <w:p w:rsidR="00377F84" w:rsidRPr="00377F84" w:rsidRDefault="00377F84" w:rsidP="00377F84">
      <w:pPr>
        <w:ind w:firstLine="567"/>
        <w:jc w:val="both"/>
      </w:pPr>
    </w:p>
    <w:p w:rsidR="00377F84" w:rsidRPr="00377F84" w:rsidRDefault="00377F84" w:rsidP="00377F84">
      <w:pPr>
        <w:pStyle w:val="1"/>
        <w:ind w:firstLine="567"/>
        <w:jc w:val="both"/>
        <w:rPr>
          <w:u w:val="none"/>
        </w:rPr>
      </w:pPr>
      <w:r w:rsidRPr="00377F84">
        <w:rPr>
          <w:u w:val="none"/>
        </w:rPr>
        <w:t>5. Контроль за реализацией адресной инвестиционной программы</w:t>
      </w:r>
    </w:p>
    <w:p w:rsidR="00377F84" w:rsidRPr="00377F84" w:rsidRDefault="00377F84" w:rsidP="00377F84">
      <w:pPr>
        <w:ind w:firstLine="567"/>
        <w:jc w:val="both"/>
      </w:pPr>
    </w:p>
    <w:p w:rsidR="00377F84" w:rsidRPr="00377F84" w:rsidRDefault="00377F84" w:rsidP="00377F84">
      <w:pPr>
        <w:ind w:firstLine="567"/>
        <w:jc w:val="both"/>
      </w:pPr>
      <w:bookmarkStart w:id="31" w:name="sub_51"/>
      <w:r w:rsidRPr="00377F84">
        <w:t>5.1. Результативность, адресность, целевой характер использования средств местного бюджета обеспечивается Администрацией либо уполномоченным им органом (структурным подразделением).</w:t>
      </w:r>
    </w:p>
    <w:p w:rsidR="00377F84" w:rsidRPr="00377F84" w:rsidRDefault="00377F84" w:rsidP="00377F84">
      <w:pPr>
        <w:ind w:firstLine="567"/>
        <w:jc w:val="both"/>
      </w:pPr>
      <w:bookmarkStart w:id="32" w:name="sub_52"/>
      <w:bookmarkEnd w:id="31"/>
      <w:r w:rsidRPr="00377F84">
        <w:t>5.2. Контроль за целевым использованием средств бюджета Козловского муниципального округа осуществляется в рамках внутреннего и внешнего муниципального финансового контроля.</w:t>
      </w:r>
    </w:p>
    <w:bookmarkEnd w:id="32"/>
    <w:p w:rsidR="00377F84" w:rsidRDefault="00377F84" w:rsidP="00377F84"/>
    <w:p w:rsidR="00377F84" w:rsidRDefault="00377F84" w:rsidP="00377F84">
      <w:pPr>
        <w:jc w:val="right"/>
        <w:rPr>
          <w:rStyle w:val="af1"/>
          <w:b w:val="0"/>
        </w:rPr>
      </w:pPr>
      <w:bookmarkStart w:id="33" w:name="sub_1100"/>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Default="00377F84" w:rsidP="00377F84">
      <w:pPr>
        <w:jc w:val="right"/>
        <w:rPr>
          <w:rStyle w:val="af1"/>
          <w:b w:val="0"/>
        </w:rPr>
      </w:pPr>
    </w:p>
    <w:p w:rsidR="00377F84" w:rsidRPr="00377F84" w:rsidRDefault="00377F84" w:rsidP="00377F84">
      <w:pPr>
        <w:jc w:val="right"/>
        <w:rPr>
          <w:rStyle w:val="af1"/>
          <w:b w:val="0"/>
        </w:rPr>
      </w:pPr>
      <w:r w:rsidRPr="00377F84">
        <w:rPr>
          <w:rStyle w:val="af1"/>
          <w:b w:val="0"/>
        </w:rPr>
        <w:t>Приложение 1</w:t>
      </w:r>
      <w:r w:rsidRPr="00377F84">
        <w:rPr>
          <w:rStyle w:val="af1"/>
          <w:b w:val="0"/>
        </w:rPr>
        <w:br/>
        <w:t xml:space="preserve">к </w:t>
      </w:r>
      <w:hyperlink w:anchor="sub_1000" w:history="1">
        <w:r w:rsidRPr="00377F84">
          <w:rPr>
            <w:rStyle w:val="a6"/>
            <w:color w:val="auto"/>
          </w:rPr>
          <w:t>Порядку</w:t>
        </w:r>
      </w:hyperlink>
      <w:r w:rsidRPr="00377F84">
        <w:rPr>
          <w:rStyle w:val="af1"/>
          <w:b w:val="0"/>
        </w:rPr>
        <w:t xml:space="preserve"> формирования</w:t>
      </w:r>
      <w:r w:rsidRPr="00377F84">
        <w:rPr>
          <w:rStyle w:val="af1"/>
          <w:b w:val="0"/>
        </w:rPr>
        <w:br/>
        <w:t>и реализации адресной</w:t>
      </w:r>
      <w:r w:rsidRPr="00377F84">
        <w:rPr>
          <w:rStyle w:val="af1"/>
          <w:b w:val="0"/>
        </w:rPr>
        <w:br/>
        <w:t>инвестиционной программы</w:t>
      </w:r>
      <w:r w:rsidRPr="00377F84">
        <w:rPr>
          <w:rStyle w:val="af1"/>
          <w:b w:val="0"/>
        </w:rPr>
        <w:br/>
        <w:t>Козловского муниципального</w:t>
      </w:r>
      <w:r w:rsidRPr="00377F84">
        <w:rPr>
          <w:rStyle w:val="af1"/>
          <w:b w:val="0"/>
        </w:rPr>
        <w:br/>
        <w:t>округа Чувашской Республики</w:t>
      </w:r>
    </w:p>
    <w:bookmarkEnd w:id="33"/>
    <w:p w:rsidR="00377F84" w:rsidRDefault="00377F84" w:rsidP="00377F84"/>
    <w:p w:rsidR="00377F84" w:rsidRPr="00377F84" w:rsidRDefault="00377F84" w:rsidP="00377F84">
      <w:pPr>
        <w:pStyle w:val="1"/>
        <w:rPr>
          <w:b w:val="0"/>
          <w:u w:val="none"/>
        </w:rPr>
      </w:pPr>
      <w:r w:rsidRPr="00377F84">
        <w:rPr>
          <w:b w:val="0"/>
          <w:u w:val="none"/>
        </w:rPr>
        <w:t>Заявка</w:t>
      </w:r>
      <w:r w:rsidRPr="00377F84">
        <w:rPr>
          <w:b w:val="0"/>
          <w:u w:val="none"/>
        </w:rPr>
        <w:br/>
        <w:t>для включения объектов в адресную инвестиционную программу за счет средств бюджета Козловского муниципального округа на 20__ - 20___ г.г., тыс. рублей</w:t>
      </w:r>
    </w:p>
    <w:p w:rsidR="00377F84" w:rsidRDefault="00377F84" w:rsidP="00377F84"/>
    <w:tbl>
      <w:tblPr>
        <w:tblW w:w="98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80"/>
        <w:gridCol w:w="980"/>
        <w:gridCol w:w="980"/>
        <w:gridCol w:w="980"/>
        <w:gridCol w:w="980"/>
        <w:gridCol w:w="980"/>
        <w:gridCol w:w="980"/>
        <w:gridCol w:w="980"/>
      </w:tblGrid>
      <w:tr w:rsidR="00377F84" w:rsidTr="00377F84">
        <w:tc>
          <w:tcPr>
            <w:tcW w:w="1985" w:type="dxa"/>
            <w:vMerge w:val="restart"/>
            <w:tcBorders>
              <w:top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Наименование, местонахождение и проектная мощность объекта инвестиций</w:t>
            </w:r>
          </w:p>
        </w:tc>
        <w:tc>
          <w:tcPr>
            <w:tcW w:w="980" w:type="dxa"/>
            <w:vMerge w:val="restart"/>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Бюджетополучатель</w:t>
            </w:r>
          </w:p>
        </w:tc>
        <w:tc>
          <w:tcPr>
            <w:tcW w:w="980" w:type="dxa"/>
            <w:vMerge w:val="restart"/>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Заказчик</w:t>
            </w:r>
          </w:p>
        </w:tc>
        <w:tc>
          <w:tcPr>
            <w:tcW w:w="980" w:type="dxa"/>
            <w:vMerge w:val="restart"/>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 xml:space="preserve">Источники финансирования </w:t>
            </w:r>
            <w:hyperlink w:anchor="sub_1111" w:history="1">
              <w:r w:rsidRPr="00377F84">
                <w:rPr>
                  <w:rStyle w:val="a6"/>
                  <w:rFonts w:ascii="Times New Roman" w:hAnsi="Times New Roman" w:cs="Times New Roman"/>
                  <w:sz w:val="22"/>
                  <w:szCs w:val="22"/>
                </w:rPr>
                <w:t>&lt;1&gt;</w:t>
              </w:r>
            </w:hyperlink>
          </w:p>
        </w:tc>
        <w:tc>
          <w:tcPr>
            <w:tcW w:w="4900" w:type="dxa"/>
            <w:gridSpan w:val="5"/>
            <w:tcBorders>
              <w:top w:val="single" w:sz="4" w:space="0" w:color="auto"/>
              <w:left w:val="single" w:sz="4" w:space="0" w:color="auto"/>
              <w:bottom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 xml:space="preserve">Плановый объем финансирования </w:t>
            </w:r>
            <w:hyperlink w:anchor="sub_2222" w:history="1">
              <w:r w:rsidRPr="00377F84">
                <w:rPr>
                  <w:rStyle w:val="a6"/>
                  <w:rFonts w:ascii="Times New Roman" w:hAnsi="Times New Roman" w:cs="Times New Roman"/>
                  <w:sz w:val="22"/>
                  <w:szCs w:val="22"/>
                </w:rPr>
                <w:t>&lt;2&gt;</w:t>
              </w:r>
            </w:hyperlink>
            <w:r w:rsidRPr="00377F84">
              <w:rPr>
                <w:rFonts w:ascii="Times New Roman" w:hAnsi="Times New Roman" w:cs="Times New Roman"/>
                <w:sz w:val="22"/>
                <w:szCs w:val="22"/>
              </w:rPr>
              <w:t xml:space="preserve"> (тыс. руб.)</w:t>
            </w:r>
          </w:p>
        </w:tc>
      </w:tr>
      <w:tr w:rsidR="00377F84" w:rsidTr="00377F84">
        <w:tc>
          <w:tcPr>
            <w:tcW w:w="1985"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всего</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 xml:space="preserve">_______ текущий год реализации программы </w:t>
            </w:r>
            <w:hyperlink w:anchor="sub_3333" w:history="1">
              <w:r w:rsidRPr="00377F84">
                <w:rPr>
                  <w:rStyle w:val="a6"/>
                  <w:rFonts w:ascii="Times New Roman" w:hAnsi="Times New Roman" w:cs="Times New Roman"/>
                  <w:sz w:val="22"/>
                  <w:szCs w:val="22"/>
                </w:rPr>
                <w:t>&lt;3&gt;</w:t>
              </w:r>
            </w:hyperlink>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______ очередной финансовый год</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_______ первый год планового периода</w:t>
            </w:r>
          </w:p>
        </w:tc>
        <w:tc>
          <w:tcPr>
            <w:tcW w:w="980" w:type="dxa"/>
            <w:tcBorders>
              <w:top w:val="single" w:sz="4" w:space="0" w:color="auto"/>
              <w:left w:val="single" w:sz="4" w:space="0" w:color="auto"/>
              <w:bottom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_______ второй год планового периода</w:t>
            </w:r>
          </w:p>
        </w:tc>
      </w:tr>
      <w:tr w:rsidR="00377F84" w:rsidTr="00377F84">
        <w:tc>
          <w:tcPr>
            <w:tcW w:w="1985" w:type="dxa"/>
            <w:tcBorders>
              <w:top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1</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2</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3</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4</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5</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6</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7</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8</w:t>
            </w:r>
          </w:p>
        </w:tc>
        <w:tc>
          <w:tcPr>
            <w:tcW w:w="980" w:type="dxa"/>
            <w:tcBorders>
              <w:top w:val="single" w:sz="4" w:space="0" w:color="auto"/>
              <w:left w:val="single" w:sz="4" w:space="0" w:color="auto"/>
              <w:bottom w:val="single" w:sz="4" w:space="0" w:color="auto"/>
            </w:tcBorders>
          </w:tcPr>
          <w:p w:rsidR="00377F84" w:rsidRPr="00377F84" w:rsidRDefault="00377F84" w:rsidP="00377F84">
            <w:pPr>
              <w:pStyle w:val="af2"/>
              <w:jc w:val="center"/>
              <w:rPr>
                <w:rFonts w:ascii="Times New Roman" w:hAnsi="Times New Roman" w:cs="Times New Roman"/>
              </w:rPr>
            </w:pPr>
            <w:r w:rsidRPr="00377F84">
              <w:rPr>
                <w:rFonts w:ascii="Times New Roman" w:hAnsi="Times New Roman" w:cs="Times New Roman"/>
                <w:sz w:val="22"/>
                <w:szCs w:val="22"/>
              </w:rPr>
              <w:t>9</w:t>
            </w:r>
          </w:p>
        </w:tc>
      </w:tr>
      <w:tr w:rsidR="00377F84" w:rsidTr="00377F84">
        <w:tc>
          <w:tcPr>
            <w:tcW w:w="1985" w:type="dxa"/>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Объект 1</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Tr="00377F84">
        <w:tc>
          <w:tcPr>
            <w:tcW w:w="1985" w:type="dxa"/>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проектные работы</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Tr="00377F84">
        <w:tc>
          <w:tcPr>
            <w:tcW w:w="1985" w:type="dxa"/>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строительство (реконструкция, приобретение)</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Tr="00377F84">
        <w:tc>
          <w:tcPr>
            <w:tcW w:w="1985" w:type="dxa"/>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Объект 2...</w:t>
            </w: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Tr="00377F84">
        <w:tc>
          <w:tcPr>
            <w:tcW w:w="1985" w:type="dxa"/>
            <w:tcBorders>
              <w:top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tcBorders>
          </w:tcPr>
          <w:p w:rsidR="00377F84" w:rsidRDefault="00377F84" w:rsidP="00377F84">
            <w:pPr>
              <w:pStyle w:val="af2"/>
            </w:pPr>
          </w:p>
        </w:tc>
      </w:tr>
      <w:tr w:rsidR="00377F84" w:rsidTr="00377F84">
        <w:tc>
          <w:tcPr>
            <w:tcW w:w="1985" w:type="dxa"/>
            <w:tcBorders>
              <w:top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tcBorders>
          </w:tcPr>
          <w:p w:rsidR="00377F84" w:rsidRDefault="00377F84" w:rsidP="00377F84">
            <w:pPr>
              <w:pStyle w:val="af2"/>
            </w:pPr>
          </w:p>
        </w:tc>
      </w:tr>
      <w:tr w:rsidR="00377F84" w:rsidTr="00377F84">
        <w:tc>
          <w:tcPr>
            <w:tcW w:w="1985" w:type="dxa"/>
            <w:tcBorders>
              <w:top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right w:val="single" w:sz="4" w:space="0" w:color="auto"/>
            </w:tcBorders>
          </w:tcPr>
          <w:p w:rsidR="00377F84" w:rsidRDefault="00377F84" w:rsidP="00377F84">
            <w:pPr>
              <w:pStyle w:val="af2"/>
            </w:pPr>
          </w:p>
        </w:tc>
        <w:tc>
          <w:tcPr>
            <w:tcW w:w="980" w:type="dxa"/>
            <w:tcBorders>
              <w:top w:val="single" w:sz="4" w:space="0" w:color="auto"/>
              <w:left w:val="single" w:sz="4" w:space="0" w:color="auto"/>
              <w:bottom w:val="single" w:sz="4" w:space="0" w:color="auto"/>
            </w:tcBorders>
          </w:tcPr>
          <w:p w:rsidR="00377F84" w:rsidRDefault="00377F84" w:rsidP="00377F84">
            <w:pPr>
              <w:pStyle w:val="af2"/>
            </w:pPr>
          </w:p>
        </w:tc>
      </w:tr>
    </w:tbl>
    <w:p w:rsidR="00377F84" w:rsidRDefault="00377F84" w:rsidP="00377F84"/>
    <w:p w:rsidR="00377F84" w:rsidRDefault="00377F84" w:rsidP="00377F84">
      <w:r>
        <w:t>Главный распорядитель бюджетных средств __________________</w:t>
      </w:r>
    </w:p>
    <w:p w:rsidR="00377F84" w:rsidRDefault="00377F84" w:rsidP="00377F84">
      <w:r>
        <w:t>Ответственный исполнитель муниципальной программы ___________________</w:t>
      </w:r>
    </w:p>
    <w:p w:rsidR="00377F84" w:rsidRDefault="00377F84" w:rsidP="00377F84"/>
    <w:p w:rsidR="00377F84" w:rsidRDefault="00377F84" w:rsidP="00377F84">
      <w:pPr>
        <w:pStyle w:val="af4"/>
        <w:rPr>
          <w:sz w:val="22"/>
          <w:szCs w:val="22"/>
        </w:rPr>
      </w:pPr>
      <w:r>
        <w:rPr>
          <w:sz w:val="22"/>
          <w:szCs w:val="22"/>
        </w:rPr>
        <w:t>──────────────────────────────</w:t>
      </w:r>
    </w:p>
    <w:p w:rsidR="00377F84" w:rsidRDefault="00377F84" w:rsidP="00377F84">
      <w:pPr>
        <w:pStyle w:val="af5"/>
      </w:pPr>
      <w:bookmarkStart w:id="34" w:name="sub_1111"/>
      <w:r>
        <w:t>&lt;1&gt; В качестве источников финансирования указываются: ФБ - федеральный бюджет; РБ - республиканский бюджет; МБ - местные бюджет; ПР - прочие источники. При наличии двух и более источников финансирования каждый источник финансирования указывается по отдельной строке;</w:t>
      </w:r>
    </w:p>
    <w:p w:rsidR="00377F84" w:rsidRDefault="00377F84" w:rsidP="00377F84">
      <w:pPr>
        <w:pStyle w:val="af5"/>
      </w:pPr>
      <w:bookmarkStart w:id="35" w:name="sub_2222"/>
      <w:bookmarkEnd w:id="34"/>
      <w:r>
        <w:t>&lt;2&gt; в ценах соответствующих лет;</w:t>
      </w:r>
    </w:p>
    <w:p w:rsidR="00377F84" w:rsidRDefault="00377F84" w:rsidP="00377F84">
      <w:pPr>
        <w:pStyle w:val="af5"/>
      </w:pPr>
      <w:bookmarkStart w:id="36" w:name="sub_3333"/>
      <w:bookmarkEnd w:id="35"/>
      <w:r>
        <w:t>&lt;3&gt; указывается текущий год реализации программы. При внесении изменений в Перечень объектов в очередном финансовом году информация о плановых объемах финансирования в предыдущие годы исключается.</w:t>
      </w:r>
    </w:p>
    <w:bookmarkEnd w:id="36"/>
    <w:p w:rsidR="00377F84" w:rsidRDefault="00377F84" w:rsidP="00377F84">
      <w:pPr>
        <w:pStyle w:val="af4"/>
        <w:rPr>
          <w:sz w:val="22"/>
          <w:szCs w:val="22"/>
        </w:rPr>
      </w:pPr>
      <w:r>
        <w:rPr>
          <w:sz w:val="22"/>
          <w:szCs w:val="22"/>
        </w:rPr>
        <w:t>──────────────────────────────</w:t>
      </w:r>
    </w:p>
    <w:p w:rsidR="00377F84" w:rsidRDefault="00377F84" w:rsidP="00377F84"/>
    <w:p w:rsidR="00377F84" w:rsidRDefault="00377F84" w:rsidP="00377F84">
      <w:pPr>
        <w:jc w:val="right"/>
        <w:rPr>
          <w:rStyle w:val="af1"/>
          <w:b w:val="0"/>
          <w:color w:val="auto"/>
        </w:rPr>
      </w:pPr>
      <w:bookmarkStart w:id="37" w:name="sub_1200"/>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Default="00377F84" w:rsidP="00377F84">
      <w:pPr>
        <w:jc w:val="right"/>
        <w:rPr>
          <w:rStyle w:val="af1"/>
          <w:b w:val="0"/>
          <w:color w:val="auto"/>
        </w:rPr>
      </w:pPr>
    </w:p>
    <w:p w:rsidR="00377F84" w:rsidRPr="00377F84" w:rsidRDefault="00377F84" w:rsidP="00377F84">
      <w:pPr>
        <w:jc w:val="right"/>
        <w:rPr>
          <w:rStyle w:val="af1"/>
          <w:b w:val="0"/>
          <w:color w:val="auto"/>
        </w:rPr>
      </w:pPr>
      <w:r w:rsidRPr="00377F84">
        <w:rPr>
          <w:rStyle w:val="af1"/>
          <w:b w:val="0"/>
          <w:color w:val="auto"/>
        </w:rPr>
        <w:t>Приложение 2</w:t>
      </w:r>
      <w:r w:rsidRPr="00377F84">
        <w:rPr>
          <w:rStyle w:val="af1"/>
          <w:b w:val="0"/>
          <w:color w:val="auto"/>
        </w:rPr>
        <w:br/>
        <w:t xml:space="preserve">к </w:t>
      </w:r>
      <w:hyperlink w:anchor="sub_1000" w:history="1">
        <w:r w:rsidRPr="00377F84">
          <w:rPr>
            <w:rStyle w:val="a6"/>
            <w:color w:val="auto"/>
          </w:rPr>
          <w:t>Порядку</w:t>
        </w:r>
      </w:hyperlink>
      <w:r w:rsidRPr="00377F84">
        <w:rPr>
          <w:rStyle w:val="af1"/>
          <w:b w:val="0"/>
          <w:color w:val="auto"/>
        </w:rPr>
        <w:t xml:space="preserve"> формирования</w:t>
      </w:r>
      <w:r w:rsidRPr="00377F84">
        <w:rPr>
          <w:rStyle w:val="af1"/>
          <w:b w:val="0"/>
          <w:color w:val="auto"/>
        </w:rPr>
        <w:br/>
        <w:t>и реализации адресной</w:t>
      </w:r>
      <w:r w:rsidRPr="00377F84">
        <w:rPr>
          <w:rStyle w:val="af1"/>
          <w:b w:val="0"/>
          <w:color w:val="auto"/>
        </w:rPr>
        <w:br/>
        <w:t>инвестиционной программы</w:t>
      </w:r>
      <w:r w:rsidRPr="00377F84">
        <w:rPr>
          <w:rStyle w:val="af1"/>
          <w:b w:val="0"/>
          <w:color w:val="auto"/>
        </w:rPr>
        <w:br/>
        <w:t>Козловского муниципального</w:t>
      </w:r>
      <w:r w:rsidRPr="00377F84">
        <w:rPr>
          <w:rStyle w:val="af1"/>
          <w:b w:val="0"/>
          <w:color w:val="auto"/>
        </w:rPr>
        <w:br/>
        <w:t>округа Чувашской Республики</w:t>
      </w:r>
    </w:p>
    <w:bookmarkEnd w:id="37"/>
    <w:p w:rsidR="00377F84" w:rsidRDefault="00377F84" w:rsidP="00377F84"/>
    <w:p w:rsidR="00377F84" w:rsidRPr="00377F84" w:rsidRDefault="00377F84" w:rsidP="00377F84">
      <w:pPr>
        <w:pStyle w:val="1"/>
        <w:rPr>
          <w:b w:val="0"/>
          <w:u w:val="none"/>
        </w:rPr>
      </w:pPr>
      <w:r w:rsidRPr="00377F84">
        <w:rPr>
          <w:b w:val="0"/>
          <w:u w:val="none"/>
        </w:rPr>
        <w:t>Технико-экономическое обоснование</w:t>
      </w:r>
      <w:r w:rsidRPr="00377F84">
        <w:rPr>
          <w:b w:val="0"/>
          <w:u w:val="none"/>
        </w:rPr>
        <w:br/>
        <w:t>необходимости строительства (реконструкции, приобретения) объекта инвестиций</w:t>
      </w:r>
      <w:r w:rsidRPr="00377F84">
        <w:rPr>
          <w:b w:val="0"/>
          <w:u w:val="none"/>
        </w:rPr>
        <w:br/>
        <w:t>________________________________________________________</w:t>
      </w:r>
      <w:r w:rsidRPr="00377F84">
        <w:rPr>
          <w:b w:val="0"/>
          <w:u w:val="none"/>
        </w:rPr>
        <w:br/>
        <w:t>(наименование объекта инвестиций)</w:t>
      </w:r>
    </w:p>
    <w:p w:rsidR="00377F84" w:rsidRDefault="00377F84" w:rsidP="00377F84"/>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4542"/>
        <w:gridCol w:w="2688"/>
      </w:tblGrid>
      <w:tr w:rsidR="00377F84" w:rsidRPr="00377F84" w:rsidTr="00377F84">
        <w:tc>
          <w:tcPr>
            <w:tcW w:w="2268" w:type="dxa"/>
            <w:vMerge w:val="restart"/>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Общая информация об объекте</w:t>
            </w: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Местонахождение объекта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Форма собственности, собственник</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Плановый период строительства (реконструкции, приобретения)</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val="restart"/>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Характеристики объекта инвестиций</w:t>
            </w: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Проектная мощность (протяженность) объекта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Общая площадь здания (зданий) (при наличии)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Строительный объем здания (зданий) (при наличии)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Обеспеченность объекта инвестиций инженерной инфраструктурой (наличие инженерных сетей и котельных)</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Перечень возводимых (приобретаемых) зданий и сооружений (для строительства, приобретения)</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Основные виды выполняемых работ по конструктивам (для реконструкции)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Иные значимые характеристики объекта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val="restart"/>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Информация о проектной документации и правоустанавливающих документах</w:t>
            </w: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Наличие проектной документации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Источник финансирования работ по разработке проектной документации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Наличие правоустанавливающих документов на земельный участок, здания, сооружения</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val="restart"/>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Социально-экономические эффекты ввода объекта в эксплуатацию</w:t>
            </w: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Корреспондирующие проекты (направления) социально-экономического развития муниципального образования</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Обеспеченность населения аналогичными объектами: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существующая</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ожидаемая с учетом ввода объекта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Влияние ввода объекта на индикаторы муниципальной программы (подпрограммы) (в единицах измерения соответствующих индикаторов)</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Иные позитивные эффекты, возникающие в результате ввода объекта в эксплуатацию</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val="restart"/>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Стоимость строительства (реконструкции, приобретения), тыс. руб.</w:t>
            </w: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Общая расчетная стоимость строительства (реконструкции, приобретения),</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в том числе федеральный бюджет,</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республиканский бюджет,</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местный бюджет,</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иные источники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Расчетный объем бюджетных ассигнований местного бюджета, всего,</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в том числе по годам</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Расчетная стоимость на 1 кв. м общей площади зданий (при наличии)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Расчетная стоимость на единицу мощности (протяженности)</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Подтверждение финансирования объекта из федерального бюджета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val="restart"/>
            <w:tcBorders>
              <w:top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Сопутствующая информация</w:t>
            </w: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Информация о вводе аналогичных объектов за три последних года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Численность населения муниципального образования (МО), в котором находится объект, всего,</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в том числе младше трудоспособного возраста,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в том числе в трудоспособном возрасте,</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в том числе старше трудоспособного возраста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Прирост населения в муниципальном образовании за последние три года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Коэффициент рождаемости в муниципальном образовании (средний за последние три года)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Коэффициент смертности в муниципальном образовании (средний за последние три года)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r w:rsidR="00377F84" w:rsidRPr="00377F84" w:rsidTr="00377F84">
        <w:tc>
          <w:tcPr>
            <w:tcW w:w="2268" w:type="dxa"/>
            <w:vMerge/>
            <w:tcBorders>
              <w:top w:val="single" w:sz="4" w:space="0" w:color="auto"/>
              <w:bottom w:val="single" w:sz="4" w:space="0" w:color="auto"/>
              <w:right w:val="single" w:sz="4" w:space="0" w:color="auto"/>
            </w:tcBorders>
          </w:tcPr>
          <w:p w:rsidR="00377F84" w:rsidRPr="00377F84" w:rsidRDefault="00377F84" w:rsidP="00377F84">
            <w:pPr>
              <w:pStyle w:val="af2"/>
              <w:rPr>
                <w:rFonts w:ascii="Times New Roman" w:hAnsi="Times New Roman" w:cs="Times New Roman"/>
              </w:rPr>
            </w:pPr>
          </w:p>
        </w:tc>
        <w:tc>
          <w:tcPr>
            <w:tcW w:w="4542" w:type="dxa"/>
            <w:tcBorders>
              <w:top w:val="single" w:sz="4" w:space="0" w:color="auto"/>
              <w:left w:val="single" w:sz="4" w:space="0" w:color="auto"/>
              <w:bottom w:val="single" w:sz="4" w:space="0" w:color="auto"/>
              <w:right w:val="single" w:sz="4" w:space="0" w:color="auto"/>
            </w:tcBorders>
          </w:tcPr>
          <w:p w:rsidR="00377F84" w:rsidRPr="00377F84" w:rsidRDefault="00377F84" w:rsidP="00377F84">
            <w:pPr>
              <w:pStyle w:val="af3"/>
              <w:rPr>
                <w:rFonts w:ascii="Times New Roman" w:hAnsi="Times New Roman" w:cs="Times New Roman"/>
              </w:rPr>
            </w:pPr>
            <w:r w:rsidRPr="00377F84">
              <w:rPr>
                <w:rFonts w:ascii="Times New Roman" w:hAnsi="Times New Roman" w:cs="Times New Roman"/>
                <w:sz w:val="22"/>
                <w:szCs w:val="22"/>
              </w:rPr>
              <w:t>Наличие потребителей услуг в достаточном количестве для обеспечения проектируемого уровня мощности объекта</w:t>
            </w:r>
          </w:p>
        </w:tc>
        <w:tc>
          <w:tcPr>
            <w:tcW w:w="2688" w:type="dxa"/>
            <w:tcBorders>
              <w:top w:val="single" w:sz="4" w:space="0" w:color="auto"/>
              <w:left w:val="single" w:sz="4" w:space="0" w:color="auto"/>
              <w:bottom w:val="single" w:sz="4" w:space="0" w:color="auto"/>
            </w:tcBorders>
          </w:tcPr>
          <w:p w:rsidR="00377F84" w:rsidRPr="00377F84" w:rsidRDefault="00377F84" w:rsidP="00377F84">
            <w:pPr>
              <w:pStyle w:val="af2"/>
              <w:rPr>
                <w:rFonts w:ascii="Times New Roman" w:hAnsi="Times New Roman" w:cs="Times New Roman"/>
              </w:rPr>
            </w:pPr>
          </w:p>
        </w:tc>
      </w:tr>
    </w:tbl>
    <w:p w:rsidR="00377F84" w:rsidRPr="00377F84" w:rsidRDefault="00377F84" w:rsidP="00377F84">
      <w:pPr>
        <w:rPr>
          <w:sz w:val="22"/>
          <w:szCs w:val="22"/>
        </w:rPr>
      </w:pPr>
    </w:p>
    <w:p w:rsidR="00377F84" w:rsidRPr="00377F84" w:rsidRDefault="00377F84" w:rsidP="00377F84">
      <w:pPr>
        <w:pStyle w:val="af4"/>
        <w:rPr>
          <w:rFonts w:ascii="Times New Roman" w:hAnsi="Times New Roman" w:cs="Times New Roman"/>
          <w:sz w:val="22"/>
          <w:szCs w:val="22"/>
        </w:rPr>
      </w:pPr>
      <w:r w:rsidRPr="00377F84">
        <w:rPr>
          <w:rFonts w:ascii="Times New Roman" w:hAnsi="Times New Roman" w:cs="Times New Roman"/>
          <w:sz w:val="22"/>
          <w:szCs w:val="22"/>
        </w:rPr>
        <w:t>__________________</w:t>
      </w:r>
      <w:r>
        <w:rPr>
          <w:rFonts w:ascii="Times New Roman" w:hAnsi="Times New Roman" w:cs="Times New Roman"/>
          <w:sz w:val="22"/>
          <w:szCs w:val="22"/>
        </w:rPr>
        <w:t xml:space="preserve">      </w:t>
      </w:r>
      <w:r w:rsidRPr="00377F84">
        <w:rPr>
          <w:rFonts w:ascii="Times New Roman" w:hAnsi="Times New Roman" w:cs="Times New Roman"/>
          <w:sz w:val="22"/>
          <w:szCs w:val="22"/>
        </w:rPr>
        <w:t xml:space="preserve"> _____________________</w:t>
      </w:r>
      <w:r>
        <w:rPr>
          <w:rFonts w:ascii="Times New Roman" w:hAnsi="Times New Roman" w:cs="Times New Roman"/>
          <w:sz w:val="22"/>
          <w:szCs w:val="22"/>
        </w:rPr>
        <w:t xml:space="preserve">      </w:t>
      </w:r>
      <w:r w:rsidRPr="00377F84">
        <w:rPr>
          <w:rFonts w:ascii="Times New Roman" w:hAnsi="Times New Roman" w:cs="Times New Roman"/>
          <w:sz w:val="22"/>
          <w:szCs w:val="22"/>
        </w:rPr>
        <w:t xml:space="preserve"> ________________________________</w:t>
      </w:r>
    </w:p>
    <w:p w:rsidR="00377F84" w:rsidRPr="00377F84" w:rsidRDefault="00377F84" w:rsidP="00377F84">
      <w:pPr>
        <w:pStyle w:val="af4"/>
        <w:rPr>
          <w:rFonts w:ascii="Times New Roman" w:hAnsi="Times New Roman" w:cs="Times New Roman"/>
          <w:sz w:val="22"/>
          <w:szCs w:val="22"/>
        </w:rPr>
      </w:pPr>
      <w:r w:rsidRPr="00377F84">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377F84">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377F84">
        <w:rPr>
          <w:rFonts w:ascii="Times New Roman" w:hAnsi="Times New Roman" w:cs="Times New Roman"/>
          <w:sz w:val="22"/>
          <w:szCs w:val="22"/>
        </w:rPr>
        <w:t xml:space="preserve">  (фамилия, инициалы)</w:t>
      </w:r>
    </w:p>
    <w:p w:rsidR="00377F84" w:rsidRPr="00377F84" w:rsidRDefault="00377F84" w:rsidP="00377F84">
      <w:pPr>
        <w:rPr>
          <w:sz w:val="22"/>
          <w:szCs w:val="22"/>
        </w:rPr>
      </w:pPr>
    </w:p>
    <w:p w:rsidR="00377F84" w:rsidRPr="00377F84" w:rsidRDefault="00377F84" w:rsidP="00377F84">
      <w:pPr>
        <w:pStyle w:val="af4"/>
        <w:rPr>
          <w:rFonts w:ascii="Times New Roman" w:hAnsi="Times New Roman" w:cs="Times New Roman"/>
          <w:sz w:val="22"/>
          <w:szCs w:val="22"/>
        </w:rPr>
      </w:pPr>
      <w:r w:rsidRPr="00377F84">
        <w:rPr>
          <w:rFonts w:ascii="Times New Roman" w:hAnsi="Times New Roman" w:cs="Times New Roman"/>
          <w:sz w:val="22"/>
          <w:szCs w:val="22"/>
        </w:rPr>
        <w:t>"___" ______________ 20__ года</w:t>
      </w:r>
    </w:p>
    <w:p w:rsidR="00377F84" w:rsidRPr="00377F84" w:rsidRDefault="00377F84" w:rsidP="00377F84">
      <w:pPr>
        <w:rPr>
          <w:sz w:val="22"/>
          <w:szCs w:val="22"/>
        </w:rPr>
      </w:pPr>
    </w:p>
    <w:p w:rsidR="00C17385" w:rsidRDefault="00C17385" w:rsidP="00AE78FC">
      <w:pPr>
        <w:pStyle w:val="af"/>
        <w:ind w:firstLine="567"/>
        <w:jc w:val="right"/>
      </w:pPr>
    </w:p>
    <w:bookmarkEnd w:id="0"/>
    <w:p w:rsidR="00E842A5" w:rsidRPr="00CF20B8" w:rsidRDefault="00E842A5" w:rsidP="003E7010">
      <w:pPr>
        <w:ind w:firstLine="3544"/>
        <w:jc w:val="right"/>
        <w:rPr>
          <w:color w:val="000000"/>
        </w:rPr>
      </w:pPr>
    </w:p>
    <w:sectPr w:rsidR="00E842A5" w:rsidRPr="00CF20B8" w:rsidSect="000A46B0">
      <w:headerReference w:type="default" r:id="rId10"/>
      <w:pgSz w:w="11906" w:h="16838"/>
      <w:pgMar w:top="709" w:right="566"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670" w:rsidRDefault="00AF5670" w:rsidP="00C64260">
      <w:r>
        <w:separator/>
      </w:r>
    </w:p>
  </w:endnote>
  <w:endnote w:type="continuationSeparator" w:id="1">
    <w:p w:rsidR="00AF5670" w:rsidRDefault="00AF5670"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670" w:rsidRDefault="00AF5670" w:rsidP="00C64260">
      <w:r>
        <w:separator/>
      </w:r>
    </w:p>
  </w:footnote>
  <w:footnote w:type="continuationSeparator" w:id="1">
    <w:p w:rsidR="00AF5670" w:rsidRDefault="00AF5670"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C6" w:rsidRDefault="00766DC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27C"/>
    <w:rsid w:val="0001027C"/>
    <w:rsid w:val="000167A6"/>
    <w:rsid w:val="00023ACE"/>
    <w:rsid w:val="000555DA"/>
    <w:rsid w:val="00073460"/>
    <w:rsid w:val="000A3427"/>
    <w:rsid w:val="000A46B0"/>
    <w:rsid w:val="000B11E9"/>
    <w:rsid w:val="000C1A09"/>
    <w:rsid w:val="000F72F1"/>
    <w:rsid w:val="00107D9D"/>
    <w:rsid w:val="001173D2"/>
    <w:rsid w:val="0013310C"/>
    <w:rsid w:val="0013767A"/>
    <w:rsid w:val="00151951"/>
    <w:rsid w:val="00164991"/>
    <w:rsid w:val="0019066D"/>
    <w:rsid w:val="001C12CF"/>
    <w:rsid w:val="001F4EC1"/>
    <w:rsid w:val="00205A9A"/>
    <w:rsid w:val="00213EEC"/>
    <w:rsid w:val="002469D7"/>
    <w:rsid w:val="00277035"/>
    <w:rsid w:val="002800EB"/>
    <w:rsid w:val="00281147"/>
    <w:rsid w:val="00283CD6"/>
    <w:rsid w:val="002C3811"/>
    <w:rsid w:val="003003FC"/>
    <w:rsid w:val="0031194F"/>
    <w:rsid w:val="003143F7"/>
    <w:rsid w:val="00317DFD"/>
    <w:rsid w:val="00370789"/>
    <w:rsid w:val="00377F84"/>
    <w:rsid w:val="003903CE"/>
    <w:rsid w:val="00392B40"/>
    <w:rsid w:val="003A39DB"/>
    <w:rsid w:val="003B07BA"/>
    <w:rsid w:val="003B2A1F"/>
    <w:rsid w:val="003E7010"/>
    <w:rsid w:val="00463898"/>
    <w:rsid w:val="0048588D"/>
    <w:rsid w:val="004962F8"/>
    <w:rsid w:val="004B03E9"/>
    <w:rsid w:val="004C6AB6"/>
    <w:rsid w:val="004D28D2"/>
    <w:rsid w:val="005114B6"/>
    <w:rsid w:val="00514232"/>
    <w:rsid w:val="00547B58"/>
    <w:rsid w:val="00560F83"/>
    <w:rsid w:val="005B47FD"/>
    <w:rsid w:val="005B4F4E"/>
    <w:rsid w:val="006054EC"/>
    <w:rsid w:val="00693CF3"/>
    <w:rsid w:val="006A41D1"/>
    <w:rsid w:val="006D5633"/>
    <w:rsid w:val="006E5FAC"/>
    <w:rsid w:val="006F28CC"/>
    <w:rsid w:val="00702A30"/>
    <w:rsid w:val="007144A3"/>
    <w:rsid w:val="0073089C"/>
    <w:rsid w:val="00764C1B"/>
    <w:rsid w:val="00766DC6"/>
    <w:rsid w:val="00787692"/>
    <w:rsid w:val="007968D1"/>
    <w:rsid w:val="007A0B11"/>
    <w:rsid w:val="007B348D"/>
    <w:rsid w:val="007C04A3"/>
    <w:rsid w:val="007C1529"/>
    <w:rsid w:val="0082678A"/>
    <w:rsid w:val="00856A38"/>
    <w:rsid w:val="008A73EB"/>
    <w:rsid w:val="008B1037"/>
    <w:rsid w:val="008B6713"/>
    <w:rsid w:val="008C5EC2"/>
    <w:rsid w:val="00914738"/>
    <w:rsid w:val="00927304"/>
    <w:rsid w:val="009612D8"/>
    <w:rsid w:val="009952DF"/>
    <w:rsid w:val="009A1A6F"/>
    <w:rsid w:val="009A3859"/>
    <w:rsid w:val="009B7948"/>
    <w:rsid w:val="009C4CFF"/>
    <w:rsid w:val="009D467F"/>
    <w:rsid w:val="009D53EF"/>
    <w:rsid w:val="00A23EFA"/>
    <w:rsid w:val="00A37BC2"/>
    <w:rsid w:val="00A572DE"/>
    <w:rsid w:val="00A65B25"/>
    <w:rsid w:val="00A70454"/>
    <w:rsid w:val="00A740BB"/>
    <w:rsid w:val="00A90769"/>
    <w:rsid w:val="00AA5D88"/>
    <w:rsid w:val="00AC0973"/>
    <w:rsid w:val="00AE78FC"/>
    <w:rsid w:val="00AF5670"/>
    <w:rsid w:val="00B053E0"/>
    <w:rsid w:val="00B31D2F"/>
    <w:rsid w:val="00B366B6"/>
    <w:rsid w:val="00B45455"/>
    <w:rsid w:val="00B553EB"/>
    <w:rsid w:val="00BB1ABE"/>
    <w:rsid w:val="00BC21AE"/>
    <w:rsid w:val="00C05514"/>
    <w:rsid w:val="00C12AC2"/>
    <w:rsid w:val="00C17385"/>
    <w:rsid w:val="00C64260"/>
    <w:rsid w:val="00C7030D"/>
    <w:rsid w:val="00C94145"/>
    <w:rsid w:val="00CA47DD"/>
    <w:rsid w:val="00CA62A5"/>
    <w:rsid w:val="00CD6ECD"/>
    <w:rsid w:val="00D52271"/>
    <w:rsid w:val="00D606A1"/>
    <w:rsid w:val="00D60884"/>
    <w:rsid w:val="00D94BD0"/>
    <w:rsid w:val="00DB76A6"/>
    <w:rsid w:val="00DC2724"/>
    <w:rsid w:val="00DC410B"/>
    <w:rsid w:val="00DC71A7"/>
    <w:rsid w:val="00E266BC"/>
    <w:rsid w:val="00E76BB8"/>
    <w:rsid w:val="00E842A5"/>
    <w:rsid w:val="00E923C9"/>
    <w:rsid w:val="00EC60AD"/>
    <w:rsid w:val="00EC74C0"/>
    <w:rsid w:val="00EE1164"/>
    <w:rsid w:val="00EF072D"/>
    <w:rsid w:val="00F1093C"/>
    <w:rsid w:val="00F17CBB"/>
    <w:rsid w:val="00F223B4"/>
    <w:rsid w:val="00F40D53"/>
    <w:rsid w:val="00F66A94"/>
    <w:rsid w:val="00F91F4B"/>
    <w:rsid w:val="00FA7F91"/>
    <w:rsid w:val="00FB2343"/>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uiPriority w:val="99"/>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uiPriority w:val="99"/>
    <w:rsid w:val="00151951"/>
    <w:pPr>
      <w:widowControl w:val="0"/>
      <w:autoSpaceDE w:val="0"/>
      <w:autoSpaceDN w:val="0"/>
      <w:adjustRightInd w:val="0"/>
    </w:pPr>
    <w:rPr>
      <w:rFonts w:ascii="Arial" w:eastAsia="Calibri" w:hAnsi="Arial" w:cs="Arial"/>
    </w:rPr>
  </w:style>
  <w:style w:type="paragraph" w:customStyle="1" w:styleId="af4">
    <w:name w:val="Таблицы (моноширинный)"/>
    <w:basedOn w:val="a"/>
    <w:next w:val="a"/>
    <w:uiPriority w:val="99"/>
    <w:rsid w:val="00377F84"/>
    <w:pPr>
      <w:widowControl w:val="0"/>
      <w:autoSpaceDE w:val="0"/>
      <w:autoSpaceDN w:val="0"/>
      <w:adjustRightInd w:val="0"/>
    </w:pPr>
    <w:rPr>
      <w:rFonts w:ascii="Courier New" w:eastAsiaTheme="minorEastAsia" w:hAnsi="Courier New" w:cs="Courier New"/>
    </w:rPr>
  </w:style>
  <w:style w:type="paragraph" w:customStyle="1" w:styleId="af5">
    <w:name w:val="Сноска"/>
    <w:basedOn w:val="a"/>
    <w:next w:val="a"/>
    <w:uiPriority w:val="99"/>
    <w:rsid w:val="00377F84"/>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AC02-C345-411F-89DC-986E1421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Пушков Геннадий</cp:lastModifiedBy>
  <cp:revision>3</cp:revision>
  <cp:lastPrinted>2023-12-18T07:07:00Z</cp:lastPrinted>
  <dcterms:created xsi:type="dcterms:W3CDTF">2023-12-18T07:14:00Z</dcterms:created>
  <dcterms:modified xsi:type="dcterms:W3CDTF">2023-12-28T06:57:00Z</dcterms:modified>
</cp:coreProperties>
</file>