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16A2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w:t>
                            </w:r>
                            <w:r w:rsidR="005E486B">
                              <w:rPr>
                                <w:rFonts w:ascii="Times New Roman" w:eastAsia="Times New Roman" w:hAnsi="Times New Roman" w:cs="Times New Roman"/>
                                <w:sz w:val="24"/>
                                <w:szCs w:val="20"/>
                                <w:u w:val="single"/>
                                <w:lang w:eastAsia="ru-RU"/>
                              </w:rPr>
                              <w:t>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16A2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w:t>
                      </w:r>
                      <w:r w:rsidR="005E486B">
                        <w:rPr>
                          <w:rFonts w:ascii="Times New Roman" w:eastAsia="Times New Roman" w:hAnsi="Times New Roman" w:cs="Times New Roman"/>
                          <w:sz w:val="24"/>
                          <w:szCs w:val="20"/>
                          <w:u w:val="single"/>
                          <w:lang w:eastAsia="ru-RU"/>
                        </w:rPr>
                        <w:t>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w:t>
                            </w:r>
                            <w:r w:rsidR="005E486B">
                              <w:rPr>
                                <w:rFonts w:ascii="Times New Roman" w:eastAsia="Times New Roman" w:hAnsi="Times New Roman" w:cs="Times New Roman"/>
                                <w:sz w:val="24"/>
                                <w:szCs w:val="24"/>
                                <w:u w:val="single"/>
                                <w:lang w:eastAsia="ru-RU"/>
                              </w:rPr>
                              <w:t>2</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w:t>
                      </w:r>
                      <w:r w:rsidR="005E486B">
                        <w:rPr>
                          <w:rFonts w:ascii="Times New Roman" w:eastAsia="Times New Roman" w:hAnsi="Times New Roman" w:cs="Times New Roman"/>
                          <w:sz w:val="24"/>
                          <w:szCs w:val="24"/>
                          <w:u w:val="single"/>
                          <w:lang w:eastAsia="ru-RU"/>
                        </w:rPr>
                        <w:t>2</w:t>
                      </w:r>
                      <w:r w:rsidR="00FE22F2">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FE22F2"/>
    <w:p w:rsidR="005E486B" w:rsidRDefault="005E486B" w:rsidP="005E486B">
      <w:pPr>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Об утверждении Положения о комиссии по обеспечению соблюдения лицами, замещающими должности руководителей</w:t>
      </w:r>
    </w:p>
    <w:p w:rsidR="005E486B" w:rsidRDefault="005E486B" w:rsidP="005E486B">
      <w:pPr>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w:t>
      </w: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r>
        <w:rPr>
          <w:rFonts w:ascii="Times New Roman" w:hAnsi="Times New Roman"/>
          <w:sz w:val="24"/>
          <w:szCs w:val="24"/>
          <w:lang w:eastAsia="ru-RU"/>
        </w:rPr>
        <w:tab/>
      </w:r>
    </w:p>
    <w:p w:rsidR="005E486B" w:rsidRDefault="005E486B" w:rsidP="005E486B">
      <w:pPr>
        <w:pStyle w:val="af"/>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w:t>
      </w:r>
      <w:proofErr w:type="gramEnd"/>
      <w:r>
        <w:rPr>
          <w:rFonts w:ascii="Times New Roman" w:hAnsi="Times New Roman"/>
          <w:sz w:val="24"/>
          <w:szCs w:val="24"/>
          <w:lang w:eastAsia="ru-RU"/>
        </w:rPr>
        <w:t xml:space="preserve">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о в л я е т:</w:t>
      </w:r>
    </w:p>
    <w:p w:rsidR="005E486B" w:rsidRDefault="005E486B" w:rsidP="005E486B">
      <w:pPr>
        <w:pStyle w:val="af"/>
        <w:jc w:val="both"/>
        <w:rPr>
          <w:rFonts w:ascii="Times New Roman" w:hAnsi="Times New Roman"/>
          <w:sz w:val="24"/>
          <w:szCs w:val="24"/>
          <w:lang w:eastAsia="ru-RU"/>
        </w:rPr>
      </w:pPr>
      <w:r>
        <w:rPr>
          <w:rFonts w:ascii="Times New Roman" w:hAnsi="Times New Roman"/>
          <w:sz w:val="24"/>
          <w:szCs w:val="24"/>
          <w:lang w:eastAsia="ru-RU"/>
        </w:rPr>
        <w:tab/>
        <w:t>1. Утвердить прилагаемое Положение о комиссии по обеспечению соблюдения лицами, замещающими должности руководителей 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w:t>
      </w:r>
    </w:p>
    <w:p w:rsidR="005E486B" w:rsidRDefault="005E486B" w:rsidP="005E486B">
      <w:pPr>
        <w:spacing w:after="0" w:line="240" w:lineRule="auto"/>
        <w:jc w:val="both"/>
        <w:rPr>
          <w:rFonts w:ascii="Times New Roman" w:eastAsia="Calibri" w:hAnsi="Times New Roman" w:cs="Times New Roman"/>
          <w:sz w:val="24"/>
          <w:szCs w:val="24"/>
          <w:lang w:eastAsia="ru-RU"/>
        </w:rPr>
      </w:pPr>
      <w:r>
        <w:rPr>
          <w:rFonts w:ascii="Times New Roman" w:hAnsi="Times New Roman"/>
          <w:sz w:val="24"/>
          <w:szCs w:val="24"/>
          <w:lang w:eastAsia="ru-RU"/>
        </w:rPr>
        <w:tab/>
        <w:t xml:space="preserve">2. Признать утратившим силу  постановление администрации Урмарского муниципального округа от </w:t>
      </w:r>
      <w:r>
        <w:rPr>
          <w:rFonts w:ascii="Times New Roman" w:eastAsia="Calibri" w:hAnsi="Times New Roman" w:cs="Times New Roman"/>
          <w:sz w:val="24"/>
          <w:szCs w:val="24"/>
          <w:lang w:eastAsia="ru-RU"/>
        </w:rPr>
        <w:t>28.03.2024  №  494 «Об утверждении Положения о комиссии по соблюдению требований к служебному поведению лиц, замещающих должности руководителей подведомственных учреждений администрации Урмарского муниципального округа Чувашской Республики и урегулированию конфликта интересов».</w:t>
      </w:r>
    </w:p>
    <w:p w:rsidR="005E486B" w:rsidRDefault="005E486B" w:rsidP="005E486B">
      <w:pPr>
        <w:spacing w:after="0" w:line="240" w:lineRule="auto"/>
        <w:jc w:val="both"/>
        <w:rPr>
          <w:rFonts w:ascii="Times New Roman" w:hAnsi="Times New Roman"/>
          <w:sz w:val="24"/>
          <w:szCs w:val="24"/>
          <w:lang w:eastAsia="ru-RU"/>
        </w:rPr>
      </w:pPr>
      <w:r>
        <w:rPr>
          <w:rFonts w:ascii="Times New Roman" w:eastAsia="Calibri" w:hAnsi="Times New Roman" w:cs="Times New Roman"/>
          <w:sz w:val="24"/>
          <w:szCs w:val="24"/>
          <w:lang w:eastAsia="ru-RU"/>
        </w:rPr>
        <w:t xml:space="preserve">           3. </w:t>
      </w:r>
      <w:r>
        <w:rPr>
          <w:rFonts w:ascii="Times New Roman" w:hAnsi="Times New Roman"/>
          <w:sz w:val="24"/>
          <w:szCs w:val="24"/>
          <w:lang w:eastAsia="ru-RU"/>
        </w:rPr>
        <w:t>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rsidR="005E486B" w:rsidRDefault="005E486B" w:rsidP="005E486B">
      <w:pPr>
        <w:spacing w:after="0" w:line="240" w:lineRule="auto"/>
        <w:jc w:val="both"/>
        <w:rPr>
          <w:rFonts w:ascii="Times New Roman" w:eastAsia="Calibri" w:hAnsi="Times New Roman" w:cs="Times New Roman"/>
          <w:sz w:val="24"/>
          <w:szCs w:val="24"/>
          <w:lang w:eastAsia="ru-RU"/>
        </w:rPr>
      </w:pPr>
      <w:r>
        <w:rPr>
          <w:rFonts w:ascii="Times New Roman" w:hAnsi="Times New Roman"/>
          <w:sz w:val="24"/>
          <w:szCs w:val="24"/>
          <w:lang w:eastAsia="ru-RU"/>
        </w:rPr>
        <w:t xml:space="preserve">           4. Настоящее постановление вступает в силу после его официального опубликования.</w:t>
      </w: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r>
        <w:rPr>
          <w:rFonts w:ascii="Times New Roman" w:hAnsi="Times New Roman"/>
          <w:sz w:val="24"/>
          <w:szCs w:val="24"/>
          <w:lang w:eastAsia="ru-RU"/>
        </w:rPr>
        <w:t xml:space="preserve">Глава Урмарского            </w:t>
      </w:r>
    </w:p>
    <w:p w:rsidR="005E486B" w:rsidRDefault="005E486B" w:rsidP="005E486B">
      <w:pPr>
        <w:pStyle w:val="af"/>
        <w:jc w:val="both"/>
        <w:rPr>
          <w:rFonts w:ascii="Times New Roman" w:hAnsi="Times New Roman"/>
          <w:sz w:val="24"/>
          <w:szCs w:val="24"/>
          <w:lang w:eastAsia="ru-RU"/>
        </w:rPr>
      </w:pPr>
      <w:r>
        <w:rPr>
          <w:rFonts w:ascii="Times New Roman" w:hAnsi="Times New Roman"/>
          <w:sz w:val="24"/>
          <w:szCs w:val="24"/>
          <w:lang w:eastAsia="ru-RU"/>
        </w:rPr>
        <w:t>муниципального округа                                                                                  В.В. Шигильдеев</w:t>
      </w: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0"/>
          <w:szCs w:val="20"/>
          <w:lang w:eastAsia="ru-RU"/>
        </w:rPr>
      </w:pPr>
      <w:r>
        <w:rPr>
          <w:rFonts w:ascii="Times New Roman" w:hAnsi="Times New Roman"/>
          <w:sz w:val="20"/>
          <w:szCs w:val="20"/>
          <w:lang w:eastAsia="ru-RU"/>
        </w:rPr>
        <w:t>Кошельков Олег Михайлович</w:t>
      </w:r>
    </w:p>
    <w:p w:rsidR="005E486B" w:rsidRDefault="005E486B" w:rsidP="005E486B">
      <w:pPr>
        <w:pStyle w:val="af"/>
        <w:jc w:val="both"/>
        <w:rPr>
          <w:rFonts w:ascii="Times New Roman" w:hAnsi="Times New Roman"/>
          <w:sz w:val="20"/>
          <w:szCs w:val="20"/>
          <w:lang w:eastAsia="ru-RU"/>
        </w:rPr>
      </w:pPr>
      <w:r>
        <w:rPr>
          <w:rFonts w:ascii="Times New Roman" w:hAnsi="Times New Roman"/>
          <w:sz w:val="20"/>
          <w:szCs w:val="20"/>
          <w:lang w:eastAsia="ru-RU"/>
        </w:rPr>
        <w:t>8(835</w:t>
      </w:r>
      <w:r>
        <w:rPr>
          <w:rFonts w:ascii="Times New Roman" w:hAnsi="Times New Roman"/>
          <w:sz w:val="20"/>
          <w:szCs w:val="20"/>
          <w:lang w:eastAsia="ru-RU"/>
        </w:rPr>
        <w:t>-</w:t>
      </w:r>
      <w:r>
        <w:rPr>
          <w:rFonts w:ascii="Times New Roman" w:hAnsi="Times New Roman"/>
          <w:sz w:val="20"/>
          <w:szCs w:val="20"/>
          <w:lang w:eastAsia="ru-RU"/>
        </w:rPr>
        <w:t>44) 2-16-10</w:t>
      </w:r>
    </w:p>
    <w:p w:rsidR="005E486B" w:rsidRDefault="005E486B" w:rsidP="005E486B">
      <w:pPr>
        <w:spacing w:after="0" w:line="240" w:lineRule="auto"/>
        <w:ind w:left="3540"/>
        <w:rPr>
          <w:rFonts w:ascii="Times New Roman" w:hAnsi="Times New Roman"/>
          <w:sz w:val="24"/>
          <w:szCs w:val="24"/>
        </w:rPr>
      </w:pPr>
    </w:p>
    <w:p w:rsidR="005E486B" w:rsidRPr="00923298" w:rsidRDefault="005E486B" w:rsidP="005E486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5E486B" w:rsidRPr="00923298" w:rsidRDefault="005E486B" w:rsidP="005E486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5E486B" w:rsidRDefault="005E486B" w:rsidP="005E486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E486B" w:rsidRPr="00923298" w:rsidRDefault="005E486B" w:rsidP="005E486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5E486B" w:rsidRPr="00923298" w:rsidRDefault="005E486B" w:rsidP="005E486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05.07</w:t>
      </w:r>
      <w:bookmarkStart w:id="0" w:name="_GoBack"/>
      <w:bookmarkEnd w:id="0"/>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1072</w:t>
      </w: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both"/>
        <w:rPr>
          <w:rFonts w:ascii="Times New Roman" w:hAnsi="Times New Roman"/>
          <w:sz w:val="24"/>
          <w:szCs w:val="24"/>
          <w:lang w:eastAsia="ru-RU"/>
        </w:rPr>
      </w:pPr>
    </w:p>
    <w:p w:rsidR="005E486B" w:rsidRDefault="005E486B" w:rsidP="005E486B">
      <w:pPr>
        <w:pStyle w:val="af"/>
        <w:jc w:val="center"/>
        <w:rPr>
          <w:rFonts w:ascii="Times New Roman" w:hAnsi="Times New Roman"/>
          <w:sz w:val="24"/>
          <w:szCs w:val="24"/>
          <w:lang w:eastAsia="ru-RU"/>
        </w:rPr>
      </w:pPr>
      <w:r>
        <w:rPr>
          <w:rFonts w:ascii="Times New Roman" w:hAnsi="Times New Roman"/>
          <w:sz w:val="24"/>
          <w:szCs w:val="24"/>
          <w:lang w:eastAsia="ru-RU"/>
        </w:rPr>
        <w:t>ПОЛОЖЕНИЕ</w:t>
      </w:r>
    </w:p>
    <w:p w:rsidR="005E486B" w:rsidRDefault="005E486B" w:rsidP="005E486B">
      <w:pPr>
        <w:pStyle w:val="af"/>
        <w:jc w:val="center"/>
        <w:rPr>
          <w:rFonts w:ascii="Times New Roman" w:hAnsi="Times New Roman"/>
          <w:sz w:val="24"/>
          <w:szCs w:val="24"/>
          <w:lang w:eastAsia="ru-RU"/>
        </w:rPr>
      </w:pPr>
      <w:r>
        <w:rPr>
          <w:rFonts w:ascii="Times New Roman" w:hAnsi="Times New Roman"/>
          <w:sz w:val="24"/>
          <w:szCs w:val="24"/>
          <w:lang w:eastAsia="ru-RU"/>
        </w:rPr>
        <w:t>о комиссии по обеспечению соблюдения лицами, замещающими должности руководителей</w:t>
      </w:r>
    </w:p>
    <w:p w:rsidR="005E486B" w:rsidRDefault="005E486B" w:rsidP="005E486B">
      <w:pPr>
        <w:pStyle w:val="af"/>
        <w:jc w:val="center"/>
        <w:rPr>
          <w:rFonts w:ascii="Times New Roman" w:hAnsi="Times New Roman"/>
          <w:sz w:val="24"/>
          <w:szCs w:val="24"/>
          <w:lang w:eastAsia="ru-RU"/>
        </w:rPr>
      </w:pPr>
      <w:r>
        <w:rPr>
          <w:rFonts w:ascii="Times New Roman" w:hAnsi="Times New Roman"/>
          <w:sz w:val="24"/>
          <w:szCs w:val="24"/>
          <w:lang w:eastAsia="ru-RU"/>
        </w:rPr>
        <w:t>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w:t>
      </w: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 Настоящим Положением определяется порядок формирования и деятельности комиссии по обеспечению исполнения лицами, замещающими должности руководителей 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 (далее – комиссия).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3. Основной задачей комиссии является содействие лицам, замещающим должности руководителей подведомственных организаций администрации Урмарского муниципального округа Чувашской Республики (далее также – организация), в обеспечении исполнения обязанностей, установленных в целях противодействия коррупции. </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4. Комиссия образовывается в администрации Урмарского муниципального округа Чувашской Республики, осуществляющей функции и полномочия учредителя (далее – администрация Урмарского муниципального округа).</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5. В состав комиссии входят председатель комиссии, его заместитель, назначаемый главой  Урмарского муниципального округа из числа членов комиссии, секретарь комиссии и другие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6. В состав комиссии входят:</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а)  заместитель главы Урмарского муниципального округа (председатель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б) должностное лицо</w:t>
      </w:r>
      <w:r>
        <w:t xml:space="preserve"> </w:t>
      </w:r>
      <w:r>
        <w:rPr>
          <w:rFonts w:ascii="Times New Roman" w:hAnsi="Times New Roman"/>
          <w:sz w:val="24"/>
          <w:szCs w:val="24"/>
        </w:rPr>
        <w:t>администрации Урмарского муниципального округа осуществляющее функции по профилактике коррупционных и иных правонарушений (секретарь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в) муниципальные служащие </w:t>
      </w:r>
      <w:proofErr w:type="gramStart"/>
      <w:r>
        <w:rPr>
          <w:rFonts w:ascii="Times New Roman" w:hAnsi="Times New Roman"/>
          <w:sz w:val="24"/>
          <w:szCs w:val="24"/>
        </w:rPr>
        <w:t>кадровой</w:t>
      </w:r>
      <w:proofErr w:type="gramEnd"/>
      <w:r>
        <w:rPr>
          <w:rFonts w:ascii="Times New Roman" w:hAnsi="Times New Roman"/>
          <w:sz w:val="24"/>
          <w:szCs w:val="24"/>
        </w:rPr>
        <w:t xml:space="preserve">  службы, юридического (правового) подразделения администрации Урмарского муниципального округа;</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г) представитель (представители)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 в случае наличия таких организаций на территории Урмарского муниципального округа. При отсутствии на территории муниципального образования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в состав комиссии включаются представители иных образовательных организаций.</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7. Глава  Урмарского муниципального округа  может принять решение о включении в состав комиссии представителя общественного совета Урмарского муниципального округа Чувашской Республики и (или) представителя профсоюзной организации, действующей в установленном порядке в исполнительно-распорядительном органе.</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lastRenderedPageBreak/>
        <w:t>Число членов комиссии, не замещающих должности муниципальной службы в администрации Урмарского муниципального округа, должно составлять не менее одной четверти от общего числа членов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8. </w:t>
      </w:r>
      <w:proofErr w:type="gramStart"/>
      <w:r>
        <w:rPr>
          <w:rFonts w:ascii="Times New Roman" w:hAnsi="Times New Roman"/>
          <w:sz w:val="24"/>
          <w:szCs w:val="24"/>
        </w:rPr>
        <w:t>Лица, указанные в подпункте «г» пункта 6 и пункте 7 настоящего Положения, включаются в состав комиссии в установленном порядке по согласованию с образовательными организациями среднего, высшего и дополнительного профессионального образования, деятельность которых связана с деятельностью организации, с общественным советом Урмарского муниципального округа Чувашской Республики, с профсоюзной организацией, действующей в установленном порядке в администрации Урмарского муниципального округа, на основании запроса администрации</w:t>
      </w:r>
      <w:proofErr w:type="gramEnd"/>
      <w:r>
        <w:rPr>
          <w:rFonts w:ascii="Times New Roman" w:hAnsi="Times New Roman"/>
          <w:sz w:val="24"/>
          <w:szCs w:val="24"/>
        </w:rPr>
        <w:t xml:space="preserve"> Урмарского муниципального округа. Согласование осуществляется в 10-дневный срок со дня получения запроса.</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9. В заседаниях комиссии могут участвовать лица, замещающие должности руководителей других организаций, специалисты, должностные лица  других органов местного самоуправления Урмарского муниципального округа, представители заинтересованных организаций, граждане, которые могут дать пояснения по вопросам, рассматриваемым комиссией.</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12. Заседание комиссии считается правомочным, если на нем присутствует не менее двух третей от общего числа членов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13. Основаниями для проведения заседания комиссии являются </w:t>
      </w:r>
      <w:proofErr w:type="gramStart"/>
      <w:r>
        <w:rPr>
          <w:rFonts w:ascii="Times New Roman" w:hAnsi="Times New Roman"/>
          <w:sz w:val="24"/>
          <w:szCs w:val="24"/>
        </w:rPr>
        <w:t>поступившее</w:t>
      </w:r>
      <w:proofErr w:type="gramEnd"/>
      <w:r>
        <w:rPr>
          <w:rFonts w:ascii="Times New Roman" w:hAnsi="Times New Roman"/>
          <w:sz w:val="24"/>
          <w:szCs w:val="24"/>
        </w:rPr>
        <w:t xml:space="preserve"> в комиссию от председателя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а) уведомление лица, замещающего должность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б) заявление лица, замещающего должность руководителя муниципального учреждения Урмарского муниципального округа Чувашской Республики (далее – учреждение),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супруга (супруги) и несовершеннолетних детей (далее соответственно – сведения о доходах, заявление);</w:t>
      </w:r>
    </w:p>
    <w:p w:rsidR="005E486B" w:rsidRDefault="005E486B" w:rsidP="005E486B">
      <w:pPr>
        <w:pStyle w:val="af"/>
        <w:ind w:firstLine="709"/>
        <w:jc w:val="both"/>
        <w:rPr>
          <w:rFonts w:ascii="Times New Roman" w:hAnsi="Times New Roman"/>
          <w:sz w:val="24"/>
          <w:szCs w:val="24"/>
        </w:rPr>
      </w:pPr>
      <w:proofErr w:type="gramStart"/>
      <w:r>
        <w:rPr>
          <w:rFonts w:ascii="Times New Roman" w:hAnsi="Times New Roman"/>
          <w:sz w:val="24"/>
          <w:szCs w:val="24"/>
        </w:rPr>
        <w:t>в) поступившая в администрацию Урмарского муниципального округа информация Управления Главы Чувашской Республики по вопросам противодействия коррупции, главы Урмарского муниципального округа или любого члена комиссии, касающаяся обеспечения соблюдения лицом, замещающим должность руководителя организации, обязанностей, установленных в целях противодействия коррупции, в том числе требований об урегулировании конфликта интересов, либо осуществления в организации мер по предупреждению коррупции;</w:t>
      </w:r>
      <w:proofErr w:type="gramEnd"/>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г) уведомление лица, замещающего должность руководителя организации,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15. Председатель комиссии при поступлении к нему информации, содержащей основания для проведения заседания комиссии, в 10-дневный срок назначает дату заседания комиссии. При этом дата заседания комиссии не может быть назначена позднее 30 дней со дня поступления указанной информации.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16. Заседание комиссии проводится, как правило, в присутствии лица, замещающего должность руководителя организации, в отношении которого рассматриваются вопросы, предусмотренные подпунктами «а» и «г» пункта 13 настоящего Положения, а также лица, замещающего должность руководителя учреждения, в отношении которого рассматривается вопрос о невозможности по объективным причинам представить сведения о доходах.</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О намерении лично присутствовать на заседании комиссии лицо, замещающее должность руководителя организации, указывает в уведомлениях, указанных в подпунктах «а» и «г» пункта 13 настоящего Положения, лицо, замещающее должность руководителя учреждения, – в заявлении.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17. Заседания комиссии могут проводиться в отсутствие лица, замещающего должность руководителя организации (учреждения), в случае:</w:t>
      </w:r>
    </w:p>
    <w:p w:rsidR="005E486B" w:rsidRDefault="005E486B" w:rsidP="005E486B">
      <w:pPr>
        <w:pStyle w:val="af"/>
        <w:ind w:firstLine="709"/>
        <w:jc w:val="both"/>
        <w:rPr>
          <w:rFonts w:ascii="Times New Roman" w:hAnsi="Times New Roman"/>
          <w:sz w:val="24"/>
          <w:szCs w:val="24"/>
        </w:rPr>
      </w:pPr>
      <w:proofErr w:type="gramStart"/>
      <w:r>
        <w:rPr>
          <w:rFonts w:ascii="Times New Roman" w:hAnsi="Times New Roman"/>
          <w:sz w:val="24"/>
          <w:szCs w:val="24"/>
        </w:rPr>
        <w:t>а) если в уведомлениях или заявлении не содержится указание о намерении лица, замещающего должность руководителя организации (учреждения), лично присутствовать на заседании комиссии;</w:t>
      </w:r>
      <w:proofErr w:type="gramEnd"/>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б) если лицо, замещающее должность руководителя организации (учреждения),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18. На заседании комиссии заслушиваются пояснения лица, замещающего должность руководителя организации (учреждения), и иных лиц, указанных в пункте 9 настоящего Положения, рассматриваются документы по существу вынесенных на заседание вопросов.</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19. Члены комиссии и лица, участвовавшие в ее заседании, не вправе разглашать сведения, ставшие им известными в ходе работы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20. По итогам рассмотрения вопроса, указанного в подпункте «а» пункта 13 настоящего Положения, комиссия принимает одно из следующих решений:</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а) признать, что при исполнении лицом, замещающим должность руководителя организации, должностных обязанностей конфликт интересов отсутствует;</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б) признать, что при исполнении лицом, замещающим должность руководителя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должность руководителя организации, и (или) работодателю принять меры по урегулированию конфликта интересов или по недопущению его возникновения; </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в) признать, что лицо, замещающее должность руководителя организации, не соблюдало требования об урегулировании конфликта интересов. В этом случае комиссия рекомендует работодателю применить к лицу, замещающему должность руководителя организации, конкретную меру ответственности. </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21. По итогам рассмотрения заявления, указанного в подпункте «б» пункта 13 настоящего Положения,  комиссия принимает одно из следующих решений:</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а) признать, что причина непредставления лицом, замещающим должность руководителя учреждения, сведений о доходах является объективной и уважительной;</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б) признать, что причина непредставления лицом, замещающим должность руководителя учреждения, сведений о доходах не является уважительной. В этом случае комиссия рекомендует лицу, замещающему должность руководителя учреждения, принять меры по представлению сведений о доходах;</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в) признать, что причина непредставления лицом, замещающим должность руководителя учреждения, сведений о доходах </w:t>
      </w:r>
      <w:proofErr w:type="gramStart"/>
      <w:r>
        <w:rPr>
          <w:rFonts w:ascii="Times New Roman" w:hAnsi="Times New Roman"/>
          <w:sz w:val="24"/>
          <w:szCs w:val="24"/>
        </w:rPr>
        <w:t>необъективна и является</w:t>
      </w:r>
      <w:proofErr w:type="gramEnd"/>
      <w:r>
        <w:rPr>
          <w:rFonts w:ascii="Times New Roman" w:hAnsi="Times New Roman"/>
          <w:sz w:val="24"/>
          <w:szCs w:val="24"/>
        </w:rPr>
        <w:t xml:space="preserve"> способом уклонения от их представления. В этом случае комиссия рекомендует руководителю </w:t>
      </w:r>
      <w:r>
        <w:rPr>
          <w:rFonts w:ascii="Times New Roman" w:hAnsi="Times New Roman"/>
          <w:sz w:val="24"/>
          <w:szCs w:val="24"/>
        </w:rPr>
        <w:lastRenderedPageBreak/>
        <w:t>исполнительно-распорядительного органа применить к руководителю учреждения конкретную меру ответственности.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22. По итогам рассмотрения вопроса, указанного в подпункте «г» пункта 13 настоящего Положения, комиссия принимает одно из следующих решений:</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а) признать наличие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б) признать отсутствие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23. По итогам рассмотрения уведомлений, указанных в подпунктах «а» и «г» пункта 13 настоящего Положения, и заявления, указанного в подпункте «б» пункта 13 при наличии</w:t>
      </w:r>
    </w:p>
    <w:p w:rsidR="005E486B" w:rsidRDefault="005E486B" w:rsidP="005E486B">
      <w:pPr>
        <w:pStyle w:val="af"/>
        <w:jc w:val="both"/>
        <w:rPr>
          <w:rFonts w:ascii="Times New Roman" w:hAnsi="Times New Roman"/>
          <w:sz w:val="24"/>
          <w:szCs w:val="24"/>
        </w:rPr>
      </w:pPr>
      <w:r>
        <w:rPr>
          <w:rFonts w:ascii="Times New Roman" w:hAnsi="Times New Roman"/>
          <w:sz w:val="24"/>
          <w:szCs w:val="24"/>
        </w:rPr>
        <w:t>к тому оснований комиссия может принять иное решение, чем это предусмотрено пунктами 20 – 22 настоящего Порядка. Основания и мотивы принятия такого решения должны быть отражены в протоколе заседания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24. По итогам рассмотрения вопроса, указанного в подпункте «в» пункта 13 настоящего Порядка, комиссия принимает соответствующее решение.</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25.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26. Решения комиссии оформляются протоколом, который подписывают члены комиссии, принимавшие участие в ее заседании.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27. В протоколе заседания комиссии указываются: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а) дата заседания комиссии, фамилии, имена, отчества (при наличии) членов комиссии и других лиц, присутствующих на заседании;</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б) формулировка каждого из рассматриваемых на заседании комиссии вопросов с указанием фамилии, имени, отчества (при наличии) лица, замещающего должность руководителя организации (учреждения), в отношении которого рассматривается вопрос;</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в) содержание пояснений лица, замещающего должность руководителя организации (учреждения), и других лиц по рассматриваемому вопросу;</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г) фамилии, имена, отчества (при наличии) выступивших на заседании лиц и краткое изложение их выступлений;</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д) другие сведения;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е) результаты голосования;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ж) решение и обоснование его принятия.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28. Член комиссии, не согласный с ее решением, вправе в письменной форме изложить свое мнение, которое </w:t>
      </w:r>
      <w:proofErr w:type="gramStart"/>
      <w:r>
        <w:rPr>
          <w:rFonts w:ascii="Times New Roman" w:hAnsi="Times New Roman"/>
          <w:sz w:val="24"/>
          <w:szCs w:val="24"/>
        </w:rPr>
        <w:t>подлежит обязательному приобщению к протоколу заседания комиссии и с которым должен</w:t>
      </w:r>
      <w:proofErr w:type="gramEnd"/>
      <w:r>
        <w:rPr>
          <w:rFonts w:ascii="Times New Roman" w:hAnsi="Times New Roman"/>
          <w:sz w:val="24"/>
          <w:szCs w:val="24"/>
        </w:rPr>
        <w:t xml:space="preserve"> быть ознакомлен руководитель организации (учреждения).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29. Копии протокола заседания комиссии в 10-дневный срок со дня заседания направляются руководителю исполнительно-распорядительного органа, полностью или в виде выписок из него – лицу, замещающему должность руководителя организации (учреждения), а также, по решению комиссии, – иным заинтересованным лицам.</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 xml:space="preserve">30. В случае установления комиссией факта совершения лицом, замещающим должность руководителя организации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w:t>
      </w:r>
      <w:r>
        <w:rPr>
          <w:rFonts w:ascii="Times New Roman" w:hAnsi="Times New Roman"/>
          <w:sz w:val="24"/>
          <w:szCs w:val="24"/>
        </w:rPr>
        <w:lastRenderedPageBreak/>
        <w:t>(бездействия) и подтверждающие такой факт документы в правоприменительные органы в 3-дневный срок со дня его установления.</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31. Оригиналы протоколов заседания комиссии или выписки из него хранятся в администрации Урмарского муниципального округа.</w:t>
      </w:r>
    </w:p>
    <w:p w:rsidR="005E486B" w:rsidRDefault="005E486B" w:rsidP="005E486B">
      <w:pPr>
        <w:pStyle w:val="af"/>
        <w:ind w:firstLine="709"/>
        <w:jc w:val="both"/>
        <w:rPr>
          <w:rFonts w:ascii="Times New Roman" w:hAnsi="Times New Roman"/>
          <w:sz w:val="24"/>
          <w:szCs w:val="24"/>
        </w:rPr>
      </w:pPr>
      <w:r>
        <w:rPr>
          <w:rFonts w:ascii="Times New Roman" w:hAnsi="Times New Roman"/>
          <w:sz w:val="24"/>
          <w:szCs w:val="24"/>
        </w:rPr>
        <w:t>32. Подготовка проектов решения о назначении даты заседания комиссии и протокола заседания комиссии, информирование членов комиссии о вопросах, включенных в повестку дня, о дате, времени и месте проведения заседания, а также ознакомление членов комиссии с материалами, представляемыми для обсуждения на заседании комиссии, осуществляется секретарем комиссии.</w:t>
      </w: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pStyle w:val="af"/>
        <w:ind w:firstLine="709"/>
        <w:jc w:val="both"/>
        <w:rPr>
          <w:rFonts w:ascii="Times New Roman" w:hAnsi="Times New Roman"/>
          <w:sz w:val="24"/>
          <w:szCs w:val="24"/>
        </w:rPr>
      </w:pPr>
    </w:p>
    <w:p w:rsidR="005E486B" w:rsidRDefault="005E486B" w:rsidP="005E486B">
      <w:pPr>
        <w:tabs>
          <w:tab w:val="left" w:pos="3600"/>
        </w:tabs>
        <w:spacing w:after="0" w:line="240" w:lineRule="auto"/>
        <w:ind w:right="4962"/>
        <w:jc w:val="both"/>
        <w:rPr>
          <w:rFonts w:ascii="Times New Roman" w:hAnsi="Times New Roman" w:cs="Times New Roman"/>
          <w:sz w:val="20"/>
          <w:szCs w:val="20"/>
        </w:rPr>
      </w:pPr>
    </w:p>
    <w:p w:rsidR="000A1D69" w:rsidRPr="00DA14CC" w:rsidRDefault="000A1D69" w:rsidP="005E486B">
      <w:pPr>
        <w:spacing w:after="0" w:line="240" w:lineRule="auto"/>
        <w:ind w:right="4962"/>
        <w:jc w:val="both"/>
        <w:rPr>
          <w:rFonts w:ascii="Times New Roman" w:hAnsi="Times New Roman" w:cs="Times New Roman"/>
          <w:color w:val="000000" w:themeColor="text1"/>
          <w:sz w:val="24"/>
          <w:szCs w:val="24"/>
        </w:rPr>
      </w:pPr>
    </w:p>
    <w:sectPr w:rsidR="000A1D69" w:rsidRPr="00DA14CC" w:rsidSect="00680C66">
      <w:headerReference w:type="default" r:id="rId10"/>
      <w:pgSz w:w="11906" w:h="16838"/>
      <w:pgMar w:top="1134" w:right="70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C7" w:rsidRDefault="006066C7" w:rsidP="00C65999">
      <w:pPr>
        <w:spacing w:after="0" w:line="240" w:lineRule="auto"/>
      </w:pPr>
      <w:r>
        <w:separator/>
      </w:r>
    </w:p>
  </w:endnote>
  <w:endnote w:type="continuationSeparator" w:id="0">
    <w:p w:rsidR="006066C7" w:rsidRDefault="006066C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altName w:val="Times New Roman"/>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C7" w:rsidRDefault="006066C7" w:rsidP="00C65999">
      <w:pPr>
        <w:spacing w:after="0" w:line="240" w:lineRule="auto"/>
      </w:pPr>
      <w:r>
        <w:separator/>
      </w:r>
    </w:p>
  </w:footnote>
  <w:footnote w:type="continuationSeparator" w:id="0">
    <w:p w:rsidR="006066C7" w:rsidRDefault="006066C7"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9"/>
  </w:num>
  <w:num w:numId="3">
    <w:abstractNumId w:val="8"/>
  </w:num>
  <w:num w:numId="4">
    <w:abstractNumId w:val="5"/>
  </w:num>
  <w:num w:numId="5">
    <w:abstractNumId w:val="7"/>
  </w:num>
  <w:num w:numId="6">
    <w:abstractNumId w:val="6"/>
  </w:num>
  <w:num w:numId="7">
    <w:abstractNumId w:val="1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F13F3"/>
    <w:rsid w:val="002F265D"/>
    <w:rsid w:val="002F2F44"/>
    <w:rsid w:val="002F3371"/>
    <w:rsid w:val="002F3DDB"/>
    <w:rsid w:val="003005EA"/>
    <w:rsid w:val="003038F5"/>
    <w:rsid w:val="00303A03"/>
    <w:rsid w:val="00304375"/>
    <w:rsid w:val="003079AB"/>
    <w:rsid w:val="00310F3D"/>
    <w:rsid w:val="003119B7"/>
    <w:rsid w:val="003121E2"/>
    <w:rsid w:val="0031358E"/>
    <w:rsid w:val="003139A6"/>
    <w:rsid w:val="0031436D"/>
    <w:rsid w:val="0031541B"/>
    <w:rsid w:val="00315E3A"/>
    <w:rsid w:val="00316A2C"/>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1B23"/>
    <w:rsid w:val="005D2E0D"/>
    <w:rsid w:val="005D32E3"/>
    <w:rsid w:val="005D38EA"/>
    <w:rsid w:val="005D5635"/>
    <w:rsid w:val="005E0999"/>
    <w:rsid w:val="005E25EF"/>
    <w:rsid w:val="005E2C54"/>
    <w:rsid w:val="005E3387"/>
    <w:rsid w:val="005E486B"/>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66C7"/>
    <w:rsid w:val="00607152"/>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105"/>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3A74"/>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6DC3"/>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4CC"/>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137406">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90934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51106304">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8DC2-03F3-44E5-B373-DA4747C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118</cp:revision>
  <cp:lastPrinted>2024-07-05T10:51:00Z</cp:lastPrinted>
  <dcterms:created xsi:type="dcterms:W3CDTF">2024-06-07T07:05:00Z</dcterms:created>
  <dcterms:modified xsi:type="dcterms:W3CDTF">2024-07-05T10:51:00Z</dcterms:modified>
</cp:coreProperties>
</file>