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eastAsia="PT Astra Serif" w:cs="PT Astra Serif"/>
          <w:b/>
          <w:sz w:val="32"/>
          <w:szCs w:val="32"/>
        </w:rPr>
        <w:t xml:space="preserve">Реестр специализированных стоянок Чувашской Республики</w:t>
      </w:r>
      <w:r>
        <w:rPr>
          <w:rFonts w:ascii="PT Astra Serif" w:hAnsi="PT Astra Serif" w:eastAsia="PT Astra Serif" w:cs="PT Astra Serif"/>
          <w:b/>
          <w:sz w:val="22"/>
          <w:szCs w:val="22"/>
        </w:rPr>
        <w:t xml:space="preserve"> </w:t>
      </w:r>
      <w:r>
        <w:rPr>
          <w:rFonts w:ascii="PT Astra Serif" w:hAnsi="PT Astra Serif" w:cs="PT Astra Serif"/>
          <w:b/>
          <w:sz w:val="22"/>
          <w:szCs w:val="22"/>
        </w:rPr>
      </w:r>
      <w:r>
        <w:rPr>
          <w:rFonts w:ascii="PT Astra Serif" w:hAnsi="PT Astra Serif" w:cs="PT Astra Serif"/>
          <w:b/>
          <w:sz w:val="22"/>
          <w:szCs w:val="22"/>
        </w:rPr>
      </w:r>
    </w:p>
    <w:p>
      <w:pPr>
        <w:pStyle w:val="912"/>
        <w:jc w:val="center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eastAsia="PT Astra Serif" w:cs="PT Astra Serif"/>
          <w:b/>
          <w:sz w:val="22"/>
          <w:szCs w:val="22"/>
        </w:rPr>
      </w:r>
      <w:r>
        <w:rPr>
          <w:rFonts w:ascii="PT Astra Serif" w:hAnsi="PT Astra Serif" w:cs="PT Astra Serif"/>
          <w:b/>
          <w:sz w:val="22"/>
          <w:szCs w:val="22"/>
        </w:rPr>
      </w:r>
      <w:r>
        <w:rPr>
          <w:rFonts w:ascii="PT Astra Serif" w:hAnsi="PT Astra Serif" w:cs="PT Astra Serif"/>
          <w:b/>
          <w:sz w:val="22"/>
          <w:szCs w:val="22"/>
        </w:rPr>
      </w:r>
    </w:p>
    <w:tbl>
      <w:tblPr>
        <w:tblW w:w="1587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2409"/>
        <w:gridCol w:w="2410"/>
        <w:gridCol w:w="2268"/>
        <w:gridCol w:w="2268"/>
        <w:gridCol w:w="2268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№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п/п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Наименование специализированной организации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Информация о государственной регистрации индивидуального предпринимателя и наименовании зарегистрировавшего его органа, место нахождения постоянно действующего исполнительного органа юридического лица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Дата заключения и срок действия соглашения о взаимодействии в области организации деятельности специализированной стоянки,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Адрес, номер стационарного телефона специализированной стоянки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Ф.И.О., должность, телефон руководителя, факс, адрес электронной почты специализированной организации 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Должности, Ф.И.О., номера телефонов должностных лиц специализированной организации, ответственных за прием информации о выезде к месту исполнения решения о задержании транспортного средства, перемещение транспортных средств, их хранение и возврат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Количество эвакуаторов</w:t>
            </w: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 (ед.)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3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4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5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6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7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8</w:t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6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 xml:space="preserve">Акватория р. Сура  на территории Ядринского, Красночетайского и Шумерлинского муниципальных округов Чувашской Республики (34-148 км)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ООО «Сурские зори»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ИНН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2119004091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ОГРНИП 1022102631011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Договор на осуществление деятельности по хранению задержанных транспортных средств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(маломерных судов)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 от 01.09.2024, </w:t>
            </w:r>
            <w:r/>
            <w:r/>
          </w:p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на 5 лет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Чувашская Республика, Ядринский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район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,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с. Засурье, Засурское лестничество, квартал 29,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(83547) 6-22-35;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8-961-341-05-01;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8-987-671-95-10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Директор: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Константинов А.Н.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тел./факс: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83547) 6-22-35;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8-961-341-05-01;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8-987-671-95-10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u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none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none"/>
                <w:lang w:val="en-US"/>
              </w:rPr>
              <w:instrText xml:space="preserve"> HYPERLINK "mailto:yadrinstojanka@mail.ru"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920"/>
                <w:rFonts w:ascii="PT Astra Serif" w:hAnsi="PT Astra Serif" w:eastAsia="PT Astra Serif" w:cs="PT Astra Serif"/>
                <w:sz w:val="22"/>
                <w:szCs w:val="22"/>
                <w:u w:val="none"/>
                <w:lang w:val="en-US"/>
              </w:rPr>
              <w:t xml:space="preserve">v_v_sveshnikov@mail.ru</w:t>
            </w:r>
            <w:r>
              <w:rPr>
                <w:rStyle w:val="920"/>
                <w:rFonts w:ascii="PT Astra Serif" w:hAnsi="PT Astra Serif" w:eastAsia="PT Astra Serif" w:cs="PT Astra Serif"/>
                <w:color w:val="000000"/>
                <w:sz w:val="22"/>
                <w:szCs w:val="22"/>
                <w:u w:val="none"/>
                <w:lang w:val="en-US"/>
              </w:rPr>
              <w:fldChar w:fldCharType="end"/>
            </w:r>
            <w:r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u w:val="none"/>
              </w:rPr>
            </w:r>
            <w:r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Директор: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Константинов А.Н.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тел./факс: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83547) 6-22-35;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8-961-341-05-01;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8-987-671-95-10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  <w:p>
            <w:pPr>
              <w:pStyle w:val="912"/>
              <w:jc w:val="center"/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val="en-US"/>
              </w:rPr>
              <w:t xml:space="preserve">e-mail: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none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none"/>
                <w:lang w:val="en-US"/>
              </w:rPr>
              <w:instrText xml:space="preserve"> HYPERLINK "mailto:yadrinstojanka@mail.ru"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u w:val="none"/>
              </w:rPr>
              <w:fldChar w:fldCharType="separate"/>
            </w:r>
            <w:r>
              <w:rPr>
                <w:rStyle w:val="920"/>
                <w:rFonts w:ascii="PT Astra Serif" w:hAnsi="PT Astra Serif" w:eastAsia="PT Astra Serif" w:cs="PT Astra Serif"/>
                <w:sz w:val="22"/>
                <w:szCs w:val="22"/>
                <w:u w:val="none"/>
                <w:lang w:val="en-US"/>
              </w:rPr>
              <w:t xml:space="preserve">v_v_sveshnikov@mail.ru</w:t>
            </w:r>
            <w:r>
              <w:rPr>
                <w:rStyle w:val="920"/>
                <w:rFonts w:ascii="PT Astra Serif" w:hAnsi="PT Astra Serif" w:eastAsia="PT Astra Serif" w:cs="PT Astra Serif"/>
                <w:color w:val="000000"/>
                <w:sz w:val="22"/>
                <w:szCs w:val="22"/>
                <w:u w:val="none"/>
                <w:lang w:val="en-US"/>
              </w:rPr>
              <w:fldChar w:fldCharType="end"/>
            </w:r>
            <w:r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u w:val="none"/>
              </w:rPr>
            </w:pPr>
            <w:r>
              <w:rPr>
                <w:rStyle w:val="920"/>
                <w:rFonts w:ascii="PT Astra Serif" w:hAnsi="PT Astra Serif" w:eastAsia="PT Astra Serif" w:cs="PT Astra Serif"/>
                <w:color w:val="000000"/>
                <w:sz w:val="22"/>
                <w:szCs w:val="22"/>
                <w:highlight w:val="none"/>
                <w:u w:val="none"/>
                <w:lang w:val="en-US"/>
              </w:rPr>
            </w:r>
            <w:r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u w:val="none"/>
              </w:rPr>
            </w:r>
            <w:r>
              <w:rPr>
                <w:rStyle w:val="920"/>
                <w:rFonts w:ascii="PT Astra Serif" w:hAnsi="PT Astra Serif" w:cs="PT Astra Serif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1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 xml:space="preserve">0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</w:tbl>
    <w:p>
      <w:pPr>
        <w:jc w:val="left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1191" w:right="425" w:bottom="79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1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1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3">
      <w:start w:val="1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4">
      <w:start w:val="1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5">
      <w:start w:val="1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6">
      <w:start w:val="1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7">
      <w:start w:val="1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8">
      <w:start w:val="1"/>
      <w:numFmt w:val="decimal"/>
      <w:isLgl w:val="false"/>
      <w:suff w:val="tab"/>
      <w:lvlText w:val="%2.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74" w:hanging="84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4" w:hanging="180"/>
      </w:p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2880" w:hanging="2880"/>
        <w:tabs>
          <w:tab w:val="num" w:pos="2880" w:leader="none"/>
        </w:tabs>
      </w:pPr>
    </w:lvl>
    <w:lvl w:ilvl="1">
      <w:start w:val="5"/>
      <w:numFmt w:val="decimalZero"/>
      <w:isLgl w:val="false"/>
      <w:suff w:val="tab"/>
      <w:lvlText w:val="%1.%2"/>
      <w:lvlJc w:val="left"/>
      <w:pPr>
        <w:ind w:left="2880" w:hanging="2880"/>
        <w:tabs>
          <w:tab w:val="num" w:pos="2880" w:leader="none"/>
        </w:tabs>
      </w:pPr>
    </w:lvl>
    <w:lvl w:ilvl="2">
      <w:start w:val="2012"/>
      <w:numFmt w:val="decimal"/>
      <w:isLgl w:val="false"/>
      <w:suff w:val="tab"/>
      <w:lvlText w:val="%1.%2.%3"/>
      <w:lvlJc w:val="left"/>
      <w:pPr>
        <w:ind w:left="2880" w:hanging="28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288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288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880" w:hanging="2880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880" w:hanging="288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880" w:hanging="2880"/>
        <w:tabs>
          <w:tab w:val="num" w:pos="288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880"/>
        <w:tabs>
          <w:tab w:val="num" w:pos="28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12"/>
    <w:next w:val="912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12"/>
    <w:next w:val="912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12"/>
    <w:next w:val="912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12"/>
    <w:next w:val="912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12"/>
    <w:next w:val="912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12"/>
    <w:next w:val="912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12"/>
    <w:next w:val="912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12"/>
    <w:next w:val="912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12"/>
    <w:next w:val="912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12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next w:val="912"/>
    <w:link w:val="912"/>
    <w:qFormat/>
    <w:rPr>
      <w:sz w:val="24"/>
      <w:szCs w:val="24"/>
      <w:lang w:val="ru-RU" w:eastAsia="ru-RU" w:bidi="ar-SA"/>
    </w:rPr>
  </w:style>
  <w:style w:type="paragraph" w:styleId="913">
    <w:name w:val="Заголовок 3"/>
    <w:basedOn w:val="912"/>
    <w:next w:val="912"/>
    <w:link w:val="912"/>
    <w:qFormat/>
    <w:pPr>
      <w:jc w:val="center"/>
      <w:keepNext/>
      <w:outlineLvl w:val="2"/>
    </w:pPr>
    <w:rPr>
      <w:b/>
      <w:bCs/>
      <w:szCs w:val="20"/>
    </w:rPr>
  </w:style>
  <w:style w:type="character" w:styleId="914">
    <w:name w:val="Основной шрифт абзаца"/>
    <w:next w:val="914"/>
    <w:link w:val="912"/>
    <w:semiHidden/>
  </w:style>
  <w:style w:type="table" w:styleId="915">
    <w:name w:val="Обычная таблица"/>
    <w:next w:val="915"/>
    <w:link w:val="912"/>
    <w:semiHidden/>
    <w:tblPr/>
  </w:style>
  <w:style w:type="numbering" w:styleId="916">
    <w:name w:val="Нет списка"/>
    <w:next w:val="916"/>
    <w:link w:val="912"/>
    <w:semiHidden/>
  </w:style>
  <w:style w:type="paragraph" w:styleId="917">
    <w:name w:val="Текст выноски"/>
    <w:basedOn w:val="912"/>
    <w:next w:val="917"/>
    <w:link w:val="912"/>
    <w:semiHidden/>
    <w:rPr>
      <w:rFonts w:ascii="Tahoma" w:hAnsi="Tahoma" w:cs="Tahoma"/>
      <w:sz w:val="16"/>
      <w:szCs w:val="16"/>
    </w:rPr>
  </w:style>
  <w:style w:type="paragraph" w:styleId="918">
    <w:name w:val="Название объекта"/>
    <w:basedOn w:val="912"/>
    <w:next w:val="912"/>
    <w:link w:val="912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919">
    <w:name w:val="Основной текст"/>
    <w:basedOn w:val="912"/>
    <w:next w:val="919"/>
    <w:link w:val="912"/>
    <w:pPr>
      <w:ind w:firstLine="567"/>
      <w:jc w:val="both"/>
      <w:spacing w:after="120"/>
    </w:pPr>
  </w:style>
  <w:style w:type="character" w:styleId="920">
    <w:name w:val="Гиперссылка"/>
    <w:next w:val="920"/>
    <w:link w:val="912"/>
    <w:rPr>
      <w:color w:val="333300"/>
      <w:u w:val="single"/>
    </w:rPr>
  </w:style>
  <w:style w:type="paragraph" w:styleId="921">
    <w:name w:val="Char Char Знак"/>
    <w:basedOn w:val="912"/>
    <w:next w:val="921"/>
    <w:link w:val="912"/>
    <w:rPr>
      <w:rFonts w:ascii="Verdana" w:hAnsi="Verdana" w:cs="Verdana"/>
      <w:sz w:val="20"/>
      <w:szCs w:val="20"/>
      <w:lang w:val="en-US" w:eastAsia="en-US"/>
    </w:rPr>
  </w:style>
  <w:style w:type="table" w:styleId="922">
    <w:name w:val="Сетка таблицы"/>
    <w:basedOn w:val="915"/>
    <w:next w:val="922"/>
    <w:link w:val="912"/>
    <w:tblPr/>
  </w:style>
  <w:style w:type="character" w:styleId="923">
    <w:name w:val="Гипертекстовая ссылка"/>
    <w:next w:val="923"/>
    <w:link w:val="912"/>
    <w:rPr>
      <w:color w:val="106bbe"/>
    </w:rPr>
  </w:style>
  <w:style w:type="paragraph" w:styleId="924">
    <w:name w:val="Внимание: недобросовестность!"/>
    <w:basedOn w:val="912"/>
    <w:next w:val="912"/>
    <w:link w:val="912"/>
    <w:pPr>
      <w:ind w:left="420" w:right="420" w:firstLine="300"/>
      <w:jc w:val="both"/>
      <w:spacing w:before="240" w:after="240"/>
    </w:pPr>
    <w:rPr>
      <w:rFonts w:ascii="Arial" w:hAnsi="Arial"/>
      <w:shd w:val="clear" w:color="auto" w:fill="f5f3da"/>
    </w:rPr>
  </w:style>
  <w:style w:type="paragraph" w:styleId="925">
    <w:name w:val="Нормальный (таблица)"/>
    <w:basedOn w:val="912"/>
    <w:next w:val="912"/>
    <w:link w:val="912"/>
    <w:pPr>
      <w:jc w:val="both"/>
    </w:pPr>
    <w:rPr>
      <w:rFonts w:ascii="Arial" w:hAnsi="Arial"/>
    </w:rPr>
  </w:style>
  <w:style w:type="paragraph" w:styleId="926">
    <w:name w:val="Прижатый влево"/>
    <w:basedOn w:val="912"/>
    <w:next w:val="912"/>
    <w:link w:val="912"/>
    <w:rPr>
      <w:rFonts w:ascii="Arial" w:hAnsi="Arial"/>
    </w:rPr>
  </w:style>
  <w:style w:type="paragraph" w:styleId="927">
    <w:name w:val="Char Char4 Знак Знак Знак"/>
    <w:basedOn w:val="912"/>
    <w:next w:val="927"/>
    <w:link w:val="9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28">
    <w:name w:val="Основной текст 2"/>
    <w:basedOn w:val="912"/>
    <w:next w:val="928"/>
    <w:link w:val="912"/>
    <w:pPr>
      <w:spacing w:after="120" w:line="480" w:lineRule="auto"/>
    </w:pPr>
  </w:style>
  <w:style w:type="paragraph" w:styleId="929">
    <w:name w:val="ConsPlusNormal"/>
    <w:next w:val="929"/>
    <w:link w:val="912"/>
    <w:pPr>
      <w:widowControl w:val="off"/>
    </w:pPr>
    <w:rPr>
      <w:rFonts w:ascii="Arial" w:hAnsi="Arial" w:cs="Arial"/>
      <w:lang w:val="ru-RU" w:eastAsia="ru-RU" w:bidi="ar-SA"/>
    </w:rPr>
  </w:style>
  <w:style w:type="paragraph" w:styleId="930">
    <w:name w:val="Default"/>
    <w:next w:val="930"/>
    <w:link w:val="912"/>
    <w:rPr>
      <w:color w:val="000000"/>
      <w:sz w:val="24"/>
      <w:szCs w:val="24"/>
      <w:lang w:val="ru-RU" w:eastAsia="ru-RU" w:bidi="ar-SA"/>
    </w:rPr>
  </w:style>
  <w:style w:type="paragraph" w:styleId="931">
    <w:name w:val="Абзац списка"/>
    <w:basedOn w:val="912"/>
    <w:next w:val="931"/>
    <w:link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32">
    <w:name w:val="Верхний колонтитул"/>
    <w:basedOn w:val="912"/>
    <w:next w:val="932"/>
    <w:link w:val="933"/>
    <w:pPr>
      <w:tabs>
        <w:tab w:val="center" w:pos="4677" w:leader="none"/>
        <w:tab w:val="right" w:pos="9355" w:leader="none"/>
      </w:tabs>
    </w:pPr>
    <w:rPr>
      <w:rFonts w:ascii="TimesET" w:hAnsi="TimesET"/>
      <w:szCs w:val="20"/>
    </w:rPr>
  </w:style>
  <w:style w:type="character" w:styleId="933">
    <w:name w:val="Верхний колонтитул Знак"/>
    <w:next w:val="933"/>
    <w:link w:val="932"/>
    <w:rPr>
      <w:rFonts w:ascii="TimesET" w:hAnsi="TimesET"/>
      <w:sz w:val="24"/>
    </w:rPr>
  </w:style>
  <w:style w:type="paragraph" w:styleId="934">
    <w:name w:val="Абзац списка1"/>
    <w:basedOn w:val="912"/>
    <w:next w:val="934"/>
    <w:link w:val="912"/>
    <w:pPr>
      <w:ind w:left="720"/>
    </w:pPr>
  </w:style>
  <w:style w:type="paragraph" w:styleId="935">
    <w:name w:val="Нижний колонтитул"/>
    <w:basedOn w:val="912"/>
    <w:next w:val="935"/>
    <w:link w:val="936"/>
    <w:pPr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next w:val="936"/>
    <w:link w:val="935"/>
    <w:rPr>
      <w:sz w:val="24"/>
      <w:szCs w:val="24"/>
    </w:rPr>
  </w:style>
  <w:style w:type="character" w:styleId="937" w:default="1">
    <w:name w:val="Default Paragraph Font"/>
    <w:uiPriority w:val="1"/>
    <w:semiHidden/>
    <w:unhideWhenUsed/>
  </w:style>
  <w:style w:type="numbering" w:styleId="938" w:default="1">
    <w:name w:val="No List"/>
    <w:uiPriority w:val="99"/>
    <w:semiHidden/>
    <w:unhideWhenUsed/>
  </w:style>
  <w:style w:type="table" w:styleId="9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</dc:title>
  <dc:creator>mintrans33</dc:creator>
  <cp:revision>12</cp:revision>
  <dcterms:created xsi:type="dcterms:W3CDTF">2024-03-19T05:22:00Z</dcterms:created>
  <dcterms:modified xsi:type="dcterms:W3CDTF">2024-07-02T12:53:04Z</dcterms:modified>
  <cp:version>917504</cp:version>
</cp:coreProperties>
</file>