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06"/>
      </w:tblGrid>
      <w:tr w:rsidR="001F4795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95" w:rsidRDefault="0017242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F4795" w:rsidRDefault="0017242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222"/>
        <w:gridCol w:w="1500"/>
        <w:gridCol w:w="2461"/>
      </w:tblGrid>
      <w:tr w:rsidR="001F4795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  <w:tr w:rsidR="001F4795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1F4795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1F4795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1F4795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  <w:tr w:rsidR="001F4795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получатель бюджетных средств, главный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</w:tr>
      <w:tr w:rsidR="001F4795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</w:tr>
      <w:tr w:rsidR="001F4795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</w:tr>
      <w:tr w:rsidR="001F4795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0"/>
              </w:rPr>
            </w:pPr>
          </w:p>
        </w:tc>
      </w:tr>
      <w:tr w:rsidR="001F4795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Ибресинский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</w:tr>
      <w:tr w:rsidR="001F4795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  <w:tr w:rsidR="001F4795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муниципальных округов</w:t>
            </w:r>
          </w:p>
          <w:p w:rsidR="001F4795" w:rsidRDefault="0017242D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97513000</w:t>
            </w:r>
          </w:p>
        </w:tc>
      </w:tr>
      <w:tr w:rsidR="001F4795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  <w:tr w:rsidR="001F4795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1F4795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  <w:tr w:rsidR="001F4795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</w:tbl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Раздел 1 "Организационная структура субъекта бюджетной отчетности"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 Организационная работа осуществляется на основании бюджетного, гражданского и налогового законодательства Российской Федерации, нормативными актами органов исполнительной власти, нормативных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акттов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изданных учреждениям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</w:rPr>
        <w:t>учетная политика, положение по опла</w:t>
      </w:r>
      <w:r>
        <w:rPr>
          <w:rFonts w:ascii="Times New Roman" w:eastAsia="Times New Roman" w:hAnsi="Times New Roman" w:cs="Times New Roman"/>
          <w:color w:val="000000"/>
        </w:rPr>
        <w:t>те труда) и другие.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Раздел 2 "Результаты деятельности субъекта бюджетной отчетности"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Фактическая численность муниципальных служащих в органах власти по состоянию на 01.01.2024 года составляет 84 единиц. </w:t>
      </w:r>
    </w:p>
    <w:p w:rsidR="001F4795" w:rsidRDefault="0017242D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3"Анализ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субъектам бюджетной отчетности"</w:t>
      </w:r>
      <w:r>
        <w:rPr>
          <w:rFonts w:ascii="Times New Roman" w:eastAsia="Times New Roman" w:hAnsi="Times New Roman" w:cs="Times New Roman"/>
          <w:color w:val="000000"/>
        </w:rPr>
        <w:t xml:space="preserve"> 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          В форме 0503168 по строке 560 "Вложения в объекты государственной (муниципальной) казны" выбивает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внутридокументальный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контроль на сумму 19 331 120.61 руб. Это квартиры приобретенные для детей- сирот и </w:t>
      </w:r>
      <w:r>
        <w:rPr>
          <w:rFonts w:ascii="Times New Roman" w:eastAsia="Times New Roman" w:hAnsi="Times New Roman" w:cs="Times New Roman"/>
          <w:color w:val="000000"/>
        </w:rPr>
        <w:t xml:space="preserve">по программе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ветхоаварейное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жилье, которые приняты к учету со счета 106 (Капитальные вложения) на 108 (Недвижимое имущество казны).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</w:rPr>
        <w:t>           .</w:t>
      </w:r>
      <w:proofErr w:type="gramEnd"/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строке 400 "Расходы будущих периодов" отражены в сумме 131846,49 руб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т.ч.: страховка автомашины - 90371</w:t>
      </w:r>
      <w:r>
        <w:rPr>
          <w:rFonts w:ascii="Times New Roman" w:eastAsia="Times New Roman" w:hAnsi="Times New Roman" w:cs="Times New Roman"/>
          <w:color w:val="000000"/>
        </w:rPr>
        <w:t>,49 руб. и исключительные права использование электронной системы образования - 41475 руб. 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ф.0503171 по счету 1 204 32 000 числится уставный фонд МП "ДЕЗ ЖКХ"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 в сумме 102000 руб.; МУП "Водоканал"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Ибресиеского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округа в сумме 762587 руб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"БТИ"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 в сумме 100000 руб. В 2023 году унитарным предприятиям субсидии на осуществление капитальных вложений в объекты капитального строительства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предоставлялись. В связи с 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увеличения и уменьшения по счету 204.32 в 2023 году не было.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4795" w:rsidRDefault="0017242D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ф.0503173 на начало года изменилась валюта баланса по результатам проверки Контрольно-счетной палаты Чувашской Республики в рамках контрольного мероприятия "О результатах внешней проверки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одовой бюджетной отчетности главных администраторов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за 2022 год" произведено начисление доходов по платежам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фонда по счету 205.92 "Расчеты по иным доходам от собственности" в сумме 31727,90 руб. и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УФНС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дебиторская задолженность по счету 205 11 уменьшилась на сумму 302597,63 руб., кредиторская задолженность по счету 205 11 на сумму 31661,53 руб. и по счету 401.30 на сумму 270936,10 руб. 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4795" w:rsidRDefault="0017242D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В ф.0503190 Групповой водовод в п.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Ибреси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 числится с 2013 года на сумму 13198379 руб..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 Чувашской Республики выходила письмом 21.11.2019г. в адрес Министерства строительства, архитектуры и жилищно-коммунально</w:t>
      </w:r>
      <w:r>
        <w:rPr>
          <w:rFonts w:ascii="Times New Roman" w:eastAsia="Times New Roman" w:hAnsi="Times New Roman" w:cs="Times New Roman"/>
          <w:color w:val="000000"/>
        </w:rPr>
        <w:t>го хозяйства и ФГУ Управление  "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Чувашмеиливодхоз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" о разъяснении по переданным затратам незавершенного строительства объекта  "Групповой водовод в п.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Ибреси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 Чувашской Республики" 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документы, подтверждающие затраты, справк</w:t>
      </w:r>
      <w:r>
        <w:rPr>
          <w:rFonts w:ascii="Times New Roman" w:eastAsia="Times New Roman" w:hAnsi="Times New Roman" w:cs="Times New Roman"/>
          <w:color w:val="000000"/>
        </w:rPr>
        <w:t xml:space="preserve">и стоимости выполненных работ. На наше письмо Минстрой сообщил, что в архиве запрашиваемые документы отсутствуют в связи с уничтожением в 2018 году.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бухалтерию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администрации муниципального округа отделом капитального строительства не предоставлены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подвер</w:t>
      </w:r>
      <w:r>
        <w:rPr>
          <w:rFonts w:ascii="Times New Roman" w:eastAsia="Times New Roman" w:hAnsi="Times New Roman" w:cs="Times New Roman"/>
          <w:color w:val="000000"/>
        </w:rPr>
        <w:t>ждающих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документов 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дальнешего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совершения операций. По водоснабжению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электорснабжению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жилых домов ведется сбор документов для подачи заявки по включению объекта в РАИП (Республиканскую адресную инвестиционную программу), по газоснабжению жилых домов в</w:t>
      </w:r>
      <w:r>
        <w:rPr>
          <w:rFonts w:ascii="Times New Roman" w:eastAsia="Times New Roman" w:hAnsi="Times New Roman" w:cs="Times New Roman"/>
          <w:color w:val="000000"/>
        </w:rPr>
        <w:t>едется работа по корректировке проектно-сметной документации, планируется подачи заявки по включению объекта в РАИП (Республиканскую адресную инвестиционную программу).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6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1670"/>
      </w:tblGrid>
      <w:tr w:rsidR="001F4795">
        <w:trPr>
          <w:trHeight w:val="78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ф.0503121 по строке 093 "Чрезвычайные доходы от операций с активами" КОСГУ 173 отра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жается списанная дебиторская задолженность по доходам, нереальной к взысканию в сумме 380555,40 руб. по данным УФНС;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КОСГУ 144 отражается  возмещение ущерба по решению суда (исполнительный лист 3264/23/21010-ИП)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сумме 829803,34 руб.;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КОСГУ 155 отра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инициативное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(средства населения) в сумме 2995580 руб.;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КОСГУ 172 отражены выбытия имущества казны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привитизация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жилья, с продажей имущества и земельных участков) в сумме  40826734,80 руб.;</w:t>
            </w:r>
          </w:p>
          <w:p w:rsidR="001F4795" w:rsidRDefault="0017242D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 КОСГУ 176  отражены изменение кадастрово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стоимости земельных участков в сумме 2302099,83 руб.;</w:t>
            </w:r>
            <w:proofErr w:type="gramEnd"/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КОСГУ 196 оприходовано (игровая площадка), который безвозмездно получили от  АНО "Институт территориального развития ЧР);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КОСГУ 199 оприходованы по результатам инвентаризации земельные участки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сумме 235566015,73 руб.;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КОСГУ 241 были приняты к учету расходов на предоставление субсидии на выполнение государственного задания на сумму 362105949,54 руб.; и на иные цели на сумму 66830071,40 руб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 основании Отчета учреждения (автономные и бюджетны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е).Материальные запасы  на сумму 139907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(костюмы юношеской армии).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КОСГУ 24В отражены расходы за оказанные услуги по обучению детей в кооперативном техникуме 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КОСГУ 254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передена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Министерство экономического развития линии электропередачи в сумме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5512451,74 руб.;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КОСГУ 281 были переданы безвозмездно бюджетным и автономным учреждениям капвложения через 106 счет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сумму 3378615 руб. (книги, флаги и герб) и через 101 счет на сумму 2986346,52 руб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амортизациям( школьный автобус).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КОСГУ 284  пер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едано на праве хозяйственного ведения государственным  (муниципальным ) унитарным предприятиям основные средства на основании распоряжении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Ибресинского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 №610-р, № 611-р от 17.11.2023 года МП "ДЕЗ ЖКХ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бресинского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 (дымо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ход) на сумму 2640024,69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руб.,МУП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"Водоканал"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Ибресинского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 (автогрейдер) на сумму 11297916,62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(счет 106 31).;</w:t>
            </w:r>
          </w:p>
          <w:p w:rsidR="001F4795" w:rsidRDefault="0017242D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КОСГУ 286 передача земельных участков многодетным семьям в сумме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смумме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7241565,74 руб. (счет 108 55).</w:t>
            </w:r>
          </w:p>
          <w:p w:rsidR="001F4795" w:rsidRDefault="0017242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</w:tbl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Дебиторская задолженность </w:t>
      </w:r>
      <w:r>
        <w:rPr>
          <w:rFonts w:ascii="Times New Roman" w:eastAsia="Times New Roman" w:hAnsi="Times New Roman" w:cs="Times New Roman"/>
          <w:color w:val="000000"/>
        </w:rPr>
        <w:t>на 01 января 2024 года: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счету 120500000 (расчеты с дебиторами по доходам) составляет в сумме 1787816231,94 руб. из них:</w:t>
      </w:r>
      <w:r>
        <w:rPr>
          <w:rFonts w:ascii="Times New Roman" w:eastAsia="Times New Roman" w:hAnsi="Times New Roman" w:cs="Times New Roman"/>
          <w:color w:val="000000"/>
        </w:rPr>
        <w:br/>
        <w:t>по субсчету 205.11.000 по представленным сведениям УФНС России по Чувашской Республике долги по налоговым доходам составляют в сумм</w:t>
      </w:r>
      <w:r>
        <w:rPr>
          <w:rFonts w:ascii="Times New Roman" w:eastAsia="Times New Roman" w:hAnsi="Times New Roman" w:cs="Times New Roman"/>
          <w:color w:val="000000"/>
        </w:rPr>
        <w:t>е 2496021,97 руб. в том числе просроченная задолженность - 2200662,81 руб.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205.21.000 образовалась задолженность в сумме 67622,00 руб. по договорам аренды имущества;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205.23.000 начисление доходов будущих периодов по договорам аренды</w:t>
      </w:r>
      <w:r>
        <w:rPr>
          <w:rFonts w:ascii="Times New Roman" w:eastAsia="Times New Roman" w:hAnsi="Times New Roman" w:cs="Times New Roman"/>
          <w:color w:val="000000"/>
        </w:rPr>
        <w:t xml:space="preserve"> земельных участков на сумму 122949928,74 руб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</w:rPr>
        <w:t>з них просроченная 122949928,74 руб.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субсчету 205.29.000 начисление доходов по найму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жилового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помещения 31982,90 руб.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205.35.000 начисление доходов по коммунальным услугам в сумме 35609,47 руб.;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205.41.000 начисление доходов от штрафных санкций за нарушение законодательства о закупках в сумме  1874,95 руб.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205.44.000 начисление доходов от возмещения ущерба имущества (исполнит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</w:rPr>
        <w:t>ист 6592/18/21010-ИП ) в сумме  720834,39 руб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205.45.000 задолженность по прочим штрафам по данным МВД составляет в сумме 676832,30 руб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 данным УФНС по Чувашской Республики в сумме 14050,96 руб.в том числе просроченная задолженность 14050,96 руб.;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205.51.000 начисление бу</w:t>
      </w:r>
      <w:r>
        <w:rPr>
          <w:rFonts w:ascii="Times New Roman" w:eastAsia="Times New Roman" w:hAnsi="Times New Roman" w:cs="Times New Roman"/>
          <w:color w:val="000000"/>
        </w:rPr>
        <w:t>дущих доходов на 3 года в сумме 1647590596,56 руб.;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205.53.000 остатки субсидии, которые поступили в конце декабря 2023 года в сумме 13298499,20 руб.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счету 120600000 (расчеты по выданным авансам) составляет в сумме 1 435 548,45 руб. в </w:t>
      </w:r>
      <w:r>
        <w:rPr>
          <w:rFonts w:ascii="Times New Roman" w:eastAsia="Times New Roman" w:hAnsi="Times New Roman" w:cs="Times New Roman"/>
          <w:color w:val="000000"/>
        </w:rPr>
        <w:t>том числе: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206.21.000 авансовое перечисление за услуги связи в сумме 23185,39 руб.;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206.23.000 - 1320887,94 руб. предоплата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 электроэнергию АО "Чувашская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энергосбытовая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компания", за отопление МП "ДЕЗ ЖКХ"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Ибресинского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района за</w:t>
      </w:r>
      <w:r>
        <w:rPr>
          <w:rFonts w:ascii="Times New Roman" w:eastAsia="Times New Roman" w:hAnsi="Times New Roman" w:cs="Times New Roman"/>
          <w:color w:val="000000"/>
        </w:rPr>
        <w:t xml:space="preserve"> водоотведение ООО "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Каналсеть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", за природный газ ООО "Газпром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межрегионгаз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Чебоксары";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206.25.000  авансовое перечисление 2620,80 руб.</w:t>
      </w:r>
      <w:r>
        <w:rPr>
          <w:rFonts w:ascii="Times New Roman" w:eastAsia="Times New Roman" w:hAnsi="Times New Roman" w:cs="Times New Roman"/>
          <w:color w:val="000000"/>
        </w:rPr>
        <w:br/>
        <w:t xml:space="preserve">по счету 206.26000 - авансовое перечисление 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медосмотр водителей БУ "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Ибресинская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ЦРБ Минздрава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Чувашииав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" 77765,55 руб.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206.34.000 - 11088,77 руб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редоплата за нефтепродукты 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счету 120800000 отражена сумма выданных в подотчет в том числе:</w:t>
      </w:r>
      <w:r>
        <w:rPr>
          <w:rFonts w:ascii="Times New Roman" w:eastAsia="Times New Roman" w:hAnsi="Times New Roman" w:cs="Times New Roman"/>
          <w:color w:val="000000"/>
        </w:rPr>
        <w:br/>
        <w:t>по субсчету 208.21.000 в конце декабря 2023 года выдали в подотчет на приобретение конвертов в</w:t>
      </w:r>
      <w:r>
        <w:rPr>
          <w:rFonts w:ascii="Times New Roman" w:eastAsia="Times New Roman" w:hAnsi="Times New Roman" w:cs="Times New Roman"/>
          <w:color w:val="000000"/>
        </w:rPr>
        <w:t xml:space="preserve"> сумме 5348,50 руб.;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208.26.000 авансовое перечисление 3800 руб.;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208.96.000 авансовое перечисление 22500 руб.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209.34.000 начисление доходов от компенсации затрат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исполнит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</w:rPr>
        <w:t>ист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6592/18/21010-ИП) в сумме  1037825,15 руб.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  Кредиторская задолженность по состоянию на 01.01.2024 года составляет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</w:rPr>
        <w:br/>
        <w:t>   По счету 120500000 (расчеты с дебиторами по доходам) составляет в сумме 1520578,29 руб. из них:</w:t>
      </w:r>
      <w:r>
        <w:rPr>
          <w:rFonts w:ascii="Times New Roman" w:eastAsia="Times New Roman" w:hAnsi="Times New Roman" w:cs="Times New Roman"/>
          <w:color w:val="000000"/>
        </w:rPr>
        <w:br/>
        <w:t>по субсчету 120511000  по представленным сведениям УФНС России переплата по нал</w:t>
      </w:r>
      <w:r>
        <w:rPr>
          <w:rFonts w:ascii="Times New Roman" w:eastAsia="Times New Roman" w:hAnsi="Times New Roman" w:cs="Times New Roman"/>
          <w:color w:val="000000"/>
        </w:rPr>
        <w:t>оговым доходам составляют в сумме 392408,29 руб.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 ;</w:t>
      </w:r>
      <w:proofErr w:type="gramEnd"/>
    </w:p>
    <w:p w:rsidR="001F4795" w:rsidRDefault="0017242D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205.55.000 собранная сумма от населения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иницативное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бюджетирование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  </w:t>
      </w:r>
    </w:p>
    <w:p w:rsidR="001F4795" w:rsidRDefault="0017242D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</w:rPr>
        <w:br/>
        <w:t>   Остаток по счету 1.302.00.000 (расчеты с поставщиками и подрядчиками) задолженность составляет в сумме 151927,91 руб</w:t>
      </w:r>
      <w:r>
        <w:rPr>
          <w:rFonts w:ascii="Times New Roman" w:eastAsia="Times New Roman" w:hAnsi="Times New Roman" w:cs="Times New Roman"/>
          <w:color w:val="000000"/>
        </w:rPr>
        <w:t>. из них: </w:t>
      </w:r>
      <w:r>
        <w:rPr>
          <w:rFonts w:ascii="Times New Roman" w:eastAsia="Times New Roman" w:hAnsi="Times New Roman" w:cs="Times New Roman"/>
          <w:color w:val="000000"/>
        </w:rPr>
        <w:br/>
        <w:t>   по субсчету 302.21.000 задолженность за услуги связи в сумме 522,18 руб.;</w:t>
      </w:r>
    </w:p>
    <w:p w:rsidR="001F4795" w:rsidRDefault="0017242D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по субсчету 302.34.000 задолженность по приобретенным материальным запасам составляет в сумме 151405,73 руб.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  </w:t>
      </w:r>
    </w:p>
    <w:p w:rsidR="001F4795" w:rsidRDefault="0017242D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По счету 130300000 (расчеты по платежам в бюджеты) з</w:t>
      </w:r>
      <w:r>
        <w:rPr>
          <w:rFonts w:ascii="Times New Roman" w:eastAsia="Times New Roman" w:hAnsi="Times New Roman" w:cs="Times New Roman"/>
          <w:color w:val="000000"/>
        </w:rPr>
        <w:t>адолженность  составляет в сумме 20034162,39 руб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том числе:</w:t>
      </w:r>
    </w:p>
    <w:p w:rsidR="001F4795" w:rsidRDefault="0017242D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субсчету 303.05.000 остатки субсидии, которые поступили в конце декабря 2023 года.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Раздел 4 "Анализ показателей бухгалтерской отчетности субъекта бюджетной отчетности"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Остатков денежных с</w:t>
      </w:r>
      <w:r>
        <w:rPr>
          <w:rFonts w:ascii="Times New Roman" w:eastAsia="Times New Roman" w:hAnsi="Times New Roman" w:cs="Times New Roman"/>
          <w:color w:val="000000"/>
        </w:rPr>
        <w:t>редств на счетах, открытых получателям средств муниципального бюджета в кредитных организациях по состоянию на 01.01.2024 года не имеются.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Раздел 5 "Прочие вопросы деятельности субъекта бюджетной отчетности"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Задолженности по исполнительным документам в</w:t>
      </w:r>
      <w:r>
        <w:rPr>
          <w:rFonts w:ascii="Times New Roman" w:eastAsia="Times New Roman" w:hAnsi="Times New Roman" w:cs="Times New Roman"/>
          <w:color w:val="000000"/>
        </w:rPr>
        <w:t xml:space="preserve"> части неисполненных судебных решений по кодам КОСГУ 296 "Иные выплаты текущего характера физическим лицам", 297 "Иные выплаты текущего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харакиера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организациям" не имеются.</w:t>
      </w:r>
    </w:p>
    <w:p w:rsidR="001F4795" w:rsidRDefault="0017242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 </w:t>
      </w:r>
    </w:p>
    <w:p w:rsidR="001F4795" w:rsidRDefault="0017242D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1F4795" w:rsidRDefault="0017242D">
      <w:r>
        <w:t> </w:t>
      </w:r>
    </w:p>
    <w:p w:rsidR="001F4795" w:rsidRDefault="0017242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570"/>
        <w:gridCol w:w="2040"/>
        <w:gridCol w:w="3770"/>
      </w:tblGrid>
      <w:tr w:rsidR="001F4795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F4795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F4795"/>
        </w:tc>
      </w:tr>
      <w:tr w:rsidR="001F4795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F4795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4795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  <w:tr w:rsidR="001F4795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F4795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  <w:tr w:rsidR="001F4795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  <w:tr w:rsidR="001F4795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F4795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7242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"____"   ____________ 20____г.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F4795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795" w:rsidRDefault="001F4795">
            <w:pPr>
              <w:rPr>
                <w:sz w:val="24"/>
              </w:rPr>
            </w:pPr>
          </w:p>
        </w:tc>
      </w:tr>
    </w:tbl>
    <w:p w:rsidR="001F4795" w:rsidRDefault="0017242D"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01.03.2024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Зиновьева Олимпиада Вячеславовна, Сертификат: 00F1DA217EE6CA373B787C08BDBD949A73, Действителен: с 16.01.2023 по 10.04.2024)        </w:t>
      </w:r>
    </w:p>
    <w:sectPr w:rsidR="001F4795" w:rsidSect="001F4795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795"/>
    <w:rsid w:val="0017242D"/>
    <w:rsid w:val="001F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1F4795"/>
  </w:style>
  <w:style w:type="character" w:styleId="a3">
    <w:name w:val="Hyperlink"/>
    <w:rsid w:val="001F4795"/>
    <w:rPr>
      <w:color w:val="0000FF"/>
      <w:u w:val="single"/>
    </w:rPr>
  </w:style>
  <w:style w:type="table" w:styleId="1">
    <w:name w:val="Table Simple 1"/>
    <w:basedOn w:val="a1"/>
    <w:rsid w:val="001F4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Зоя Ивановна</dc:creator>
  <cp:lastModifiedBy>ibrfin6</cp:lastModifiedBy>
  <cp:revision>2</cp:revision>
  <dcterms:created xsi:type="dcterms:W3CDTF">2024-03-11T11:16:00Z</dcterms:created>
  <dcterms:modified xsi:type="dcterms:W3CDTF">2024-03-11T11:16:00Z</dcterms:modified>
</cp:coreProperties>
</file>