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B1" w:rsidRDefault="001475B1" w:rsidP="001475B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1534">
        <w:rPr>
          <w:rFonts w:ascii="Times New Roman" w:hAnsi="Times New Roman" w:cs="Times New Roman"/>
          <w:sz w:val="28"/>
          <w:szCs w:val="28"/>
        </w:rPr>
        <w:t>рганизационные ос</w:t>
      </w:r>
      <w:r>
        <w:rPr>
          <w:rFonts w:ascii="Times New Roman" w:hAnsi="Times New Roman" w:cs="Times New Roman"/>
          <w:sz w:val="28"/>
          <w:szCs w:val="28"/>
        </w:rPr>
        <w:t>новы противодействия терроризму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Президент Российской Федерации: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1) определяет основные направления государственной политики в области противодействия терроризму;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2) устанавливает компетенцию федеральных органов исполнительной власти, руководство деятельностью которых он осуществляет, по борьбе с терроризмом;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3) принимает решение в 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деятельностью, осуществляемой против Российской Федерации либо граждан Российской Федерации или лиц без гражданства, постоянно проживающих в Российской Федерации.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Правительство Российской Федерации: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1) определяет компетенцию федеральных органов исполнительной власти, руководство деятельностью которых оно осуществляет, в области противодействия терроризму;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2) организует разработку и осуществление мер по предупреждению терроризма и минимизацию и (или) ликвидацию последствий проявлений терроризма;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3) организует обеспечение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 необходимыми силами, средствами и ресурсами;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4) устанавливает обязательные для выполнения требования к антитеррористической защищенности объектов (территорий), категории объектов (территорий), порядок разработки указанных требований и контроля за их выполнением, порядок разработки и форму паспорта безопасности таких объектов (территорий) (за исключением объектов транспортной инфраструктуры, транспортных средств и объектов топливно-энергетического комплекса);</w:t>
      </w:r>
    </w:p>
    <w:p w:rsidR="002B1534" w:rsidRPr="002B1534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5) устанавливает порядок взаимодействия федеральных органов исполнительной власти, органов государственной власти субъектов Российской Федерации и органов местного самоуправления, физических и юридических лиц при проверке информации об угрозе совершения террористического акта, а также информирования субъектов противодействия терроризму о выявленной угрозе совершения террористического акта.</w:t>
      </w:r>
    </w:p>
    <w:p w:rsidR="00715823" w:rsidRPr="00715823" w:rsidRDefault="002B1534" w:rsidP="002B15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534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власти,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1475B1"/>
    <w:rsid w:val="002B1534"/>
    <w:rsid w:val="00715823"/>
    <w:rsid w:val="008151F3"/>
    <w:rsid w:val="008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8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2023-06-28T14:01:00Z</dcterms:modified>
</cp:coreProperties>
</file>