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2A10" w14:textId="77777777" w:rsidR="006C112D" w:rsidRDefault="006C112D" w:rsidP="006C112D">
      <w:pPr>
        <w:jc w:val="right"/>
        <w:rPr>
          <w:rStyle w:val="a3"/>
          <w:rFonts w:ascii="Times New Roman" w:hAnsi="Times New Roman"/>
          <w:b w:val="0"/>
          <w:color w:val="000000" w:themeColor="text1"/>
        </w:rPr>
      </w:pPr>
      <w:r w:rsidRPr="007568E7">
        <w:rPr>
          <w:rStyle w:val="a3"/>
          <w:rFonts w:ascii="Times New Roman" w:hAnsi="Times New Roman"/>
          <w:b w:val="0"/>
          <w:color w:val="000000" w:themeColor="text1"/>
        </w:rPr>
        <w:t>Приложение N </w:t>
      </w:r>
      <w:r>
        <w:rPr>
          <w:rStyle w:val="a3"/>
          <w:rFonts w:ascii="Times New Roman" w:hAnsi="Times New Roman"/>
          <w:b w:val="0"/>
          <w:color w:val="000000" w:themeColor="text1"/>
        </w:rPr>
        <w:t>1</w:t>
      </w:r>
    </w:p>
    <w:p w14:paraId="55862778" w14:textId="77777777" w:rsidR="006C112D" w:rsidRDefault="006C112D" w:rsidP="006C112D">
      <w:pPr>
        <w:jc w:val="right"/>
        <w:rPr>
          <w:rStyle w:val="a3"/>
          <w:rFonts w:ascii="Times New Roman" w:hAnsi="Times New Roman"/>
          <w:b w:val="0"/>
          <w:color w:val="000000" w:themeColor="text1"/>
        </w:rPr>
      </w:pPr>
      <w:r>
        <w:rPr>
          <w:rStyle w:val="a3"/>
          <w:rFonts w:ascii="Times New Roman" w:hAnsi="Times New Roman"/>
          <w:b w:val="0"/>
          <w:color w:val="000000" w:themeColor="text1"/>
        </w:rPr>
        <w:t xml:space="preserve">к постановлению администрации </w:t>
      </w:r>
    </w:p>
    <w:p w14:paraId="430ED1EB" w14:textId="428EB988" w:rsidR="006C112D" w:rsidRDefault="006C112D" w:rsidP="006C112D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Times New Roman" w:hAnsi="Times New Roman"/>
          <w:b w:val="0"/>
          <w:color w:val="000000" w:themeColor="text1"/>
        </w:rPr>
        <w:t xml:space="preserve">Чебоксарского муниципального округа </w:t>
      </w:r>
      <w:r w:rsidRPr="007568E7">
        <w:rPr>
          <w:rStyle w:val="a3"/>
          <w:rFonts w:ascii="Times New Roman" w:hAnsi="Times New Roman"/>
          <w:b w:val="0"/>
          <w:color w:val="000000" w:themeColor="text1"/>
        </w:rPr>
        <w:br/>
        <w:t>Чувашской Республики</w:t>
      </w:r>
      <w:r w:rsidRPr="007568E7">
        <w:rPr>
          <w:rStyle w:val="a3"/>
          <w:rFonts w:ascii="Times New Roman" w:hAnsi="Times New Roman"/>
          <w:b w:val="0"/>
          <w:color w:val="000000" w:themeColor="text1"/>
        </w:rPr>
        <w:br/>
      </w:r>
      <w:r>
        <w:rPr>
          <w:rStyle w:val="a3"/>
          <w:rFonts w:ascii="Times New Roman" w:hAnsi="Times New Roman"/>
          <w:b w:val="0"/>
          <w:color w:val="000000" w:themeColor="text1"/>
        </w:rPr>
        <w:t>«__»_________2023</w:t>
      </w:r>
    </w:p>
    <w:p w14:paraId="2A980674" w14:textId="77777777" w:rsidR="006C112D" w:rsidRPr="00636F12" w:rsidRDefault="006C112D" w:rsidP="006C112D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 И ПРОГНОЗНАЯ (СПРАВОЧНАЯ) ОЦЕНКА РАСХОДОВ</w:t>
      </w:r>
    </w:p>
    <w:p w14:paraId="253C6111" w14:textId="77777777" w:rsidR="006C112D" w:rsidRPr="00636F12" w:rsidRDefault="006C112D" w:rsidP="006C112D">
      <w:pPr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 счет всех источников финансирования реализации Муниципальной подпрограммы Чебоксарского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«Управление муниципальным имуществом Чебоксарского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Pr="00636F12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Республики»</w:t>
      </w:r>
    </w:p>
    <w:p w14:paraId="1864833F" w14:textId="77777777" w:rsidR="006C112D" w:rsidRPr="00636F12" w:rsidRDefault="006C112D" w:rsidP="006C112D">
      <w:pPr>
        <w:widowControl/>
        <w:adjustRightInd/>
        <w:ind w:firstLine="0"/>
        <w:rPr>
          <w:rFonts w:ascii="Calibri" w:hAnsi="Calibri" w:cs="Calibri"/>
        </w:rPr>
      </w:pPr>
    </w:p>
    <w:tbl>
      <w:tblPr>
        <w:tblW w:w="15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472"/>
        <w:gridCol w:w="906"/>
        <w:gridCol w:w="906"/>
        <w:gridCol w:w="1133"/>
        <w:gridCol w:w="681"/>
        <w:gridCol w:w="680"/>
        <w:gridCol w:w="680"/>
        <w:gridCol w:w="767"/>
        <w:gridCol w:w="680"/>
        <w:gridCol w:w="28"/>
        <w:gridCol w:w="652"/>
        <w:gridCol w:w="28"/>
        <w:gridCol w:w="652"/>
        <w:gridCol w:w="86"/>
        <w:gridCol w:w="715"/>
        <w:gridCol w:w="682"/>
        <w:gridCol w:w="27"/>
        <w:gridCol w:w="653"/>
        <w:gridCol w:w="55"/>
        <w:gridCol w:w="625"/>
        <w:gridCol w:w="55"/>
        <w:gridCol w:w="625"/>
        <w:gridCol w:w="55"/>
        <w:gridCol w:w="625"/>
        <w:gridCol w:w="55"/>
        <w:gridCol w:w="749"/>
        <w:gridCol w:w="33"/>
        <w:gridCol w:w="24"/>
      </w:tblGrid>
      <w:tr w:rsidR="006C112D" w:rsidRPr="00F33701" w14:paraId="58CFF225" w14:textId="77777777" w:rsidTr="00D67D68">
        <w:trPr>
          <w:gridAfter w:val="1"/>
          <w:wAfter w:w="24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8F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Статус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D5F" w14:textId="054C963E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Наименование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подпрограммы муниципальной программы </w:t>
            </w:r>
            <w:r>
              <w:rPr>
                <w:sz w:val="19"/>
                <w:szCs w:val="19"/>
              </w:rPr>
              <w:t>Чебоксарского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 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4B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Код </w:t>
            </w:r>
            <w:hyperlink r:id="rId4" w:history="1">
              <w:r w:rsidRPr="007568E7">
                <w:rPr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C8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8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6FF6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6C112D" w:rsidRPr="00F33701" w14:paraId="3208CA18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157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FA8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40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90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026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AE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BE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F8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BC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9B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BB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9D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B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53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FF7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67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40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9B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CFF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2035</w:t>
            </w:r>
          </w:p>
        </w:tc>
      </w:tr>
      <w:tr w:rsidR="006C112D" w:rsidRPr="00F33701" w14:paraId="4127D15B" w14:textId="77777777" w:rsidTr="00D67D68">
        <w:trPr>
          <w:gridAfter w:val="2"/>
          <w:wAfter w:w="57" w:type="dxa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28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2CA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48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98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08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4F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4F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3A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51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7E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C0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B8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16D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09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8C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25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E0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AF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C111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19</w:t>
            </w:r>
          </w:p>
        </w:tc>
      </w:tr>
      <w:tr w:rsidR="006C112D" w:rsidRPr="00F33701" w14:paraId="6FBE882B" w14:textId="77777777" w:rsidTr="00D67D68"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687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Муниципальная программа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40B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"Развитие земельных и имущественных отношений"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36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3F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1DD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425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8D6" w14:textId="23A3D36B" w:rsidR="006C112D" w:rsidRPr="00F33701" w:rsidRDefault="00EA613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19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30F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44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A74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96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B6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604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D35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78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41D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E16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DE14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6C112D" w:rsidRPr="00F33701" w14:paraId="730AF40F" w14:textId="77777777" w:rsidTr="00D67D68"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0D4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4EB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79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62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EED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BE3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95F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D69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E32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830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656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8D8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F8E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AA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AFE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31D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EA7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4D2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41232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6C112D" w:rsidRPr="00F33701" w14:paraId="1CBA635C" w14:textId="77777777" w:rsidTr="00D67D68"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2DF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C6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E5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25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895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A6EF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3DD" w14:textId="6A3D799C" w:rsidR="006C112D" w:rsidRPr="00F33701" w:rsidRDefault="00BC45DB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47D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72A9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086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A6E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16C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8E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C70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FF3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041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BCB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016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AD7EC" w14:textId="77777777" w:rsidR="006C112D" w:rsidRPr="00F33701" w:rsidRDefault="006C112D" w:rsidP="00D67D68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6C112D" w:rsidRPr="00F33701" w14:paraId="00417914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62E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0AB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47C8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3F93A0A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D6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7FF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</w:t>
            </w:r>
            <w:r>
              <w:rPr>
                <w:sz w:val="19"/>
                <w:szCs w:val="19"/>
              </w:rPr>
              <w:lastRenderedPageBreak/>
              <w:t xml:space="preserve">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F9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1E1" w14:textId="76B31FB4" w:rsidR="006C112D" w:rsidRPr="00F33701" w:rsidRDefault="00EA613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1A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02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89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CC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FA7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B2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B1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D4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71A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2A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A28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3E3A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6C112D" w:rsidRPr="00F33701" w14:paraId="25BC9FE0" w14:textId="77777777" w:rsidTr="00D67D68"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CEADF5" w14:textId="77777777" w:rsidR="006C112D" w:rsidRPr="00F33701" w:rsidRDefault="00EA613D" w:rsidP="00D67D68">
            <w:pPr>
              <w:ind w:firstLine="0"/>
              <w:jc w:val="left"/>
              <w:rPr>
                <w:sz w:val="19"/>
                <w:szCs w:val="19"/>
              </w:rPr>
            </w:pPr>
            <w:hyperlink w:anchor="sub_1300" w:history="1">
              <w:r w:rsidR="006C112D" w:rsidRPr="00F33701">
                <w:rPr>
                  <w:color w:val="106BBE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48AF7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"Управление муниципальным имуществом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>ого муниципального округа Чувашской Республики"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A7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A2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B56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F04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4D5" w14:textId="77DC114F" w:rsidR="006C112D" w:rsidRPr="00F33701" w:rsidRDefault="00EA613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3618,8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38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1F1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61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C68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0A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7BC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66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B4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23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3DF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52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7B44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6C112D" w:rsidRPr="00F33701" w14:paraId="2577F57A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504E2D50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4734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17A5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7F90583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122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F1F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9A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FBB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7A4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F3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B4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F68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53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B6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EF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C8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BF6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742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F1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367F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6C112D" w:rsidRPr="00F33701" w14:paraId="0F642077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right w:val="single" w:sz="4" w:space="0" w:color="auto"/>
            </w:tcBorders>
          </w:tcPr>
          <w:p w14:paraId="06110A2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98C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459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54FAD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4EE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34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389" w14:textId="4C223DF0" w:rsidR="006C112D" w:rsidRDefault="00BC45DB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45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F8F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84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48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B77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1EC9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498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15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896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A1F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2D4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9E85D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6C112D" w:rsidRPr="00F33701" w14:paraId="5CA0E095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3E1F32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9D9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BD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A56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859B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>муниципального округа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F74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4D" w14:textId="0F5DA4E7" w:rsidR="006C112D" w:rsidRDefault="00EA613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604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60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C8C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E30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D6C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B4BC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B99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42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9E1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3EB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66B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3B9E" w14:textId="77777777" w:rsidR="006C112D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  <w:tr w:rsidR="006C112D" w:rsidRPr="00F33701" w14:paraId="0A632A72" w14:textId="77777777" w:rsidTr="00D67D68">
        <w:trPr>
          <w:gridAfter w:val="2"/>
          <w:wAfter w:w="57" w:type="dxa"/>
        </w:trPr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936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Основное мероприятие 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15E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Создание условий для максимального вовлечения в хозяйственный оборот муниципального имущества </w:t>
            </w:r>
            <w:r>
              <w:rPr>
                <w:sz w:val="19"/>
                <w:szCs w:val="19"/>
              </w:rPr>
              <w:t xml:space="preserve">Чебоксарского </w:t>
            </w:r>
            <w:r w:rsidRPr="00F33701">
              <w:rPr>
                <w:sz w:val="19"/>
                <w:szCs w:val="19"/>
              </w:rPr>
              <w:t xml:space="preserve"> муниципального округа Чувашской Республики, в том числе земельных участков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83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FD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А410200000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AA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74F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091" w14:textId="0809FBA6" w:rsidR="006C112D" w:rsidRPr="00F33701" w:rsidRDefault="00EA613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3618,8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D5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2876,6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59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C4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A8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DB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A0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78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F2A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86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104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46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2AA7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16953,7</w:t>
            </w:r>
          </w:p>
        </w:tc>
      </w:tr>
      <w:tr w:rsidR="006C112D" w:rsidRPr="00F33701" w14:paraId="6D66637A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156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361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07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837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892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40A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5C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57F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F33701">
              <w:rPr>
                <w:sz w:val="16"/>
                <w:szCs w:val="16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BE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31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E2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E1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BF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657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B0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F34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6C9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17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10E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A10566">
              <w:rPr>
                <w:sz w:val="16"/>
                <w:szCs w:val="16"/>
              </w:rPr>
              <w:t>14853,4</w:t>
            </w:r>
          </w:p>
        </w:tc>
      </w:tr>
      <w:tr w:rsidR="006C112D" w:rsidRPr="00F33701" w14:paraId="53D3B7A6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F4D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9BD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D69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8C3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EBA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720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C59" w14:textId="359824E0" w:rsidR="006C112D" w:rsidRPr="00F33701" w:rsidRDefault="00BC45DB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53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1174,5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602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43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0FF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E4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96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B3B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CB6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9B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B8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885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A094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6"/>
                <w:szCs w:val="16"/>
              </w:rPr>
              <w:t>460,3</w:t>
            </w:r>
          </w:p>
        </w:tc>
      </w:tr>
      <w:tr w:rsidR="006C112D" w:rsidRPr="00F33701" w14:paraId="1FAA66FB" w14:textId="77777777" w:rsidTr="00D67D68">
        <w:trPr>
          <w:gridAfter w:val="2"/>
          <w:wAfter w:w="57" w:type="dxa"/>
        </w:trPr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BA0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E8A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FE3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5B764371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630626EE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>903</w:t>
            </w:r>
          </w:p>
          <w:p w14:paraId="7E107357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5825CC9C" w14:textId="77777777" w:rsidR="006C112D" w:rsidRPr="00F33701" w:rsidRDefault="006C112D" w:rsidP="00D67D68">
            <w:pPr>
              <w:ind w:firstLine="0"/>
              <w:rPr>
                <w:sz w:val="19"/>
                <w:szCs w:val="19"/>
              </w:rPr>
            </w:pPr>
          </w:p>
          <w:p w14:paraId="3D276E30" w14:textId="662C770D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0865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62E" w14:textId="77777777" w:rsidR="006C112D" w:rsidRPr="00F33701" w:rsidRDefault="006C112D" w:rsidP="00D67D68">
            <w:pPr>
              <w:ind w:firstLine="0"/>
              <w:jc w:val="left"/>
              <w:rPr>
                <w:sz w:val="19"/>
                <w:szCs w:val="19"/>
              </w:rPr>
            </w:pPr>
            <w:r w:rsidRPr="00F33701">
              <w:rPr>
                <w:sz w:val="19"/>
                <w:szCs w:val="19"/>
              </w:rPr>
              <w:t xml:space="preserve">бюджет </w:t>
            </w:r>
            <w:r>
              <w:rPr>
                <w:sz w:val="19"/>
                <w:szCs w:val="19"/>
              </w:rPr>
              <w:t>Чебоксарск</w:t>
            </w:r>
            <w:r w:rsidRPr="00F33701">
              <w:rPr>
                <w:sz w:val="19"/>
                <w:szCs w:val="19"/>
              </w:rPr>
              <w:t xml:space="preserve">ого муниципального округа </w:t>
            </w:r>
            <w:r w:rsidRPr="00F33701">
              <w:rPr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43C" w14:textId="77777777" w:rsidR="006C112D" w:rsidRPr="00F33701" w:rsidRDefault="006C112D" w:rsidP="00D67D68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D3F" w14:textId="4F65133B" w:rsidR="006C112D" w:rsidRPr="00F33701" w:rsidRDefault="00EA613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3618,8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B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1702,1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BD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6DA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CE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0D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D82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D9E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4A0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9E1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8B8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55D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9554F" w14:textId="77777777" w:rsidR="006C112D" w:rsidRPr="00F33701" w:rsidRDefault="006C112D" w:rsidP="00D67D68">
            <w:pPr>
              <w:ind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1640,0</w:t>
            </w:r>
          </w:p>
        </w:tc>
      </w:tr>
    </w:tbl>
    <w:p w14:paraId="4CF5FA91" w14:textId="77777777" w:rsidR="000C18C2" w:rsidRDefault="000C18C2"/>
    <w:sectPr w:rsidR="000C18C2" w:rsidSect="006C1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E"/>
    <w:rsid w:val="00041CD1"/>
    <w:rsid w:val="000C18C2"/>
    <w:rsid w:val="006C112D"/>
    <w:rsid w:val="009A23CE"/>
    <w:rsid w:val="00BC45DB"/>
    <w:rsid w:val="00E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070B"/>
  <w15:chartTrackingRefBased/>
  <w15:docId w15:val="{C2C980E0-4022-40BD-83B9-F2197021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112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112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Константинова И.В.</dc:creator>
  <cp:keywords/>
  <dc:description/>
  <cp:lastModifiedBy>Чеб. р-н - Константинова И.В.</cp:lastModifiedBy>
  <cp:revision>5</cp:revision>
  <cp:lastPrinted>2023-07-26T07:10:00Z</cp:lastPrinted>
  <dcterms:created xsi:type="dcterms:W3CDTF">2023-04-12T07:41:00Z</dcterms:created>
  <dcterms:modified xsi:type="dcterms:W3CDTF">2023-08-30T12:29:00Z</dcterms:modified>
</cp:coreProperties>
</file>