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docx" ContentType="application/vnd.openxmlformats-officedocument.wordprocessingml.document"/>
  <Override PartName="/word/embeddings/oleObject2.docx" ContentType="application/vnd.openxmlformats-officedocument.wordprocessingml.document"/>
  <Override PartName="/word/embeddings/oleObject3.docx" ContentType="application/vnd.openxmlformats-officedocument.wordprocessingml.document"/>
  <Override PartName="/word/theme/theme1.xml" ContentType="application/vnd.openxmlformats-officedocument.theme+xml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_DdeLink__2742_2926668259"/>
      <w:r>
        <w:rPr>
          <w:b/>
          <w:sz w:val="28"/>
          <w:szCs w:val="28"/>
          <w:u w:val="double"/>
        </w:rPr>
        <w:t>Медико-демографическая ситуация в г. Новочебоксарске</w:t>
      </w:r>
      <w:bookmarkEnd w:id="0"/>
      <w:r>
        <w:rPr>
          <w:b/>
          <w:sz w:val="28"/>
          <w:szCs w:val="28"/>
          <w:u w:val="double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Динамика численности населения определяется комплексом факторов, основными из которых являются естественное движение (рождаемость, смертность), состояние внутренних и межрегиональных миграционных процессов, социально – экономическая привлекательность территорий. Структура населения указаны в таблице 1.</w:t>
      </w:r>
    </w:p>
    <w:p>
      <w:pPr>
        <w:pStyle w:val="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Половозрастная структура населения г. Новочебоксарск за 2018-2022гг.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Население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2018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2019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2020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2021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2022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Динамика</w:t>
      </w:r>
    </w:p>
    <w:p>
      <w:pPr>
        <w:pStyle w:val="Normal"/>
        <w:rPr/>
      </w:pPr>
      <w:r>
        <w:rPr>
          <w:sz w:val="22"/>
          <w:szCs w:val="22"/>
        </w:rPr>
        <w:t>Всего население</w:t>
      </w:r>
    </w:p>
    <w:p>
      <w:pPr>
        <w:pStyle w:val="Normal"/>
        <w:rPr/>
      </w:pPr>
      <w:r>
        <w:rPr>
          <w:sz w:val="22"/>
          <w:szCs w:val="22"/>
        </w:rPr>
        <w:t>126931</w:t>
      </w:r>
    </w:p>
    <w:p>
      <w:pPr>
        <w:pStyle w:val="Normal"/>
        <w:rPr/>
      </w:pPr>
      <w:r>
        <w:rPr>
          <w:sz w:val="22"/>
          <w:szCs w:val="22"/>
        </w:rPr>
        <w:t>127099</w:t>
      </w:r>
    </w:p>
    <w:p>
      <w:pPr>
        <w:pStyle w:val="Normal"/>
        <w:rPr/>
      </w:pPr>
      <w:r>
        <w:rPr>
          <w:sz w:val="22"/>
          <w:szCs w:val="22"/>
        </w:rPr>
        <w:t>127529</w:t>
      </w:r>
    </w:p>
    <w:p>
      <w:pPr>
        <w:pStyle w:val="Normal"/>
        <w:rPr/>
      </w:pPr>
      <w:r>
        <w:rPr>
          <w:sz w:val="22"/>
          <w:szCs w:val="22"/>
        </w:rPr>
        <w:t>127884</w:t>
      </w:r>
    </w:p>
    <w:p>
      <w:pPr>
        <w:pStyle w:val="Normal"/>
        <w:rPr/>
      </w:pPr>
      <w:r>
        <w:rPr>
          <w:sz w:val="22"/>
          <w:szCs w:val="22"/>
        </w:rPr>
        <w:t>127763</w:t>
      </w:r>
    </w:p>
    <w:p>
      <w:pPr>
        <w:pStyle w:val="Normal"/>
        <w:rPr/>
      </w:pPr>
      <w:r>
        <w:rPr>
          <w:sz w:val="22"/>
          <w:szCs w:val="22"/>
        </w:rPr>
        <w:t>-0,09%</w:t>
      </w:r>
    </w:p>
    <w:p>
      <w:pPr>
        <w:pStyle w:val="Normal"/>
        <w:rPr/>
      </w:pPr>
      <w:r>
        <w:rPr>
          <w:sz w:val="22"/>
          <w:szCs w:val="22"/>
        </w:rPr>
        <w:t>Дети до 14 лет</w:t>
      </w:r>
    </w:p>
    <w:p>
      <w:pPr>
        <w:pStyle w:val="Normal"/>
        <w:rPr/>
      </w:pPr>
      <w:r>
        <w:rPr>
          <w:sz w:val="22"/>
          <w:szCs w:val="22"/>
        </w:rPr>
        <w:t>24351</w:t>
      </w:r>
    </w:p>
    <w:p>
      <w:pPr>
        <w:pStyle w:val="Normal"/>
        <w:rPr/>
      </w:pPr>
      <w:r>
        <w:rPr>
          <w:sz w:val="22"/>
          <w:szCs w:val="22"/>
        </w:rPr>
        <w:t>24522</w:t>
      </w:r>
    </w:p>
    <w:p>
      <w:pPr>
        <w:pStyle w:val="Normal"/>
        <w:rPr/>
      </w:pPr>
      <w:r>
        <w:rPr>
          <w:sz w:val="22"/>
          <w:szCs w:val="22"/>
        </w:rPr>
        <w:t>24436</w:t>
      </w:r>
    </w:p>
    <w:p>
      <w:pPr>
        <w:pStyle w:val="Normal"/>
        <w:rPr/>
      </w:pPr>
      <w:r>
        <w:rPr>
          <w:sz w:val="22"/>
          <w:szCs w:val="22"/>
        </w:rPr>
        <w:t>24456</w:t>
      </w:r>
    </w:p>
    <w:p>
      <w:pPr>
        <w:pStyle w:val="Normal"/>
        <w:rPr/>
      </w:pPr>
      <w:r>
        <w:rPr>
          <w:sz w:val="22"/>
          <w:szCs w:val="22"/>
        </w:rPr>
        <w:t>24324</w:t>
      </w:r>
    </w:p>
    <w:p>
      <w:pPr>
        <w:pStyle w:val="Normal"/>
        <w:rPr/>
      </w:pPr>
      <w:r>
        <w:rPr>
          <w:sz w:val="22"/>
          <w:szCs w:val="22"/>
        </w:rPr>
        <w:t>-0,54%</w:t>
      </w:r>
    </w:p>
    <w:p>
      <w:pPr>
        <w:pStyle w:val="Normal"/>
        <w:rPr/>
      </w:pPr>
      <w:r>
        <w:rPr>
          <w:sz w:val="22"/>
          <w:szCs w:val="22"/>
        </w:rPr>
        <w:t xml:space="preserve">Подростки </w:t>
      </w:r>
    </w:p>
    <w:p>
      <w:pPr>
        <w:pStyle w:val="Normal"/>
        <w:rPr/>
      </w:pPr>
      <w:r>
        <w:rPr>
          <w:sz w:val="22"/>
          <w:szCs w:val="22"/>
        </w:rPr>
        <w:t>3719</w:t>
      </w:r>
    </w:p>
    <w:p>
      <w:pPr>
        <w:pStyle w:val="Normal"/>
        <w:rPr/>
      </w:pPr>
      <w:r>
        <w:rPr>
          <w:sz w:val="22"/>
          <w:szCs w:val="22"/>
        </w:rPr>
        <w:t>3931</w:t>
      </w:r>
    </w:p>
    <w:p>
      <w:pPr>
        <w:pStyle w:val="Normal"/>
        <w:rPr/>
      </w:pPr>
      <w:r>
        <w:rPr>
          <w:sz w:val="22"/>
          <w:szCs w:val="22"/>
        </w:rPr>
        <w:t>4216</w:t>
      </w:r>
    </w:p>
    <w:p>
      <w:pPr>
        <w:pStyle w:val="Normal"/>
        <w:rPr/>
      </w:pPr>
      <w:r>
        <w:rPr>
          <w:sz w:val="22"/>
          <w:szCs w:val="22"/>
        </w:rPr>
        <w:t>4263</w:t>
      </w:r>
    </w:p>
    <w:p>
      <w:pPr>
        <w:pStyle w:val="Normal"/>
        <w:rPr/>
      </w:pPr>
      <w:r>
        <w:rPr>
          <w:sz w:val="22"/>
          <w:szCs w:val="22"/>
        </w:rPr>
        <w:t>4345</w:t>
      </w:r>
    </w:p>
    <w:p>
      <w:pPr>
        <w:pStyle w:val="Normal"/>
        <w:rPr/>
      </w:pPr>
      <w:r>
        <w:rPr>
          <w:sz w:val="22"/>
          <w:szCs w:val="22"/>
        </w:rPr>
        <w:t>+1,9%</w:t>
      </w:r>
    </w:p>
    <w:p>
      <w:pPr>
        <w:pStyle w:val="Normal"/>
        <w:rPr/>
      </w:pPr>
      <w:r>
        <w:rPr>
          <w:sz w:val="22"/>
          <w:szCs w:val="22"/>
        </w:rPr>
        <w:t>Дети + подростки</w:t>
      </w:r>
    </w:p>
    <w:p>
      <w:pPr>
        <w:pStyle w:val="Normal"/>
        <w:rPr/>
      </w:pPr>
      <w:r>
        <w:rPr>
          <w:sz w:val="22"/>
          <w:szCs w:val="22"/>
        </w:rPr>
        <w:t>28070</w:t>
      </w:r>
    </w:p>
    <w:p>
      <w:pPr>
        <w:pStyle w:val="Normal"/>
        <w:rPr/>
      </w:pPr>
      <w:r>
        <w:rPr>
          <w:sz w:val="22"/>
          <w:szCs w:val="22"/>
        </w:rPr>
        <w:t>28453</w:t>
      </w:r>
    </w:p>
    <w:p>
      <w:pPr>
        <w:pStyle w:val="Normal"/>
        <w:rPr/>
      </w:pPr>
      <w:r>
        <w:rPr>
          <w:sz w:val="22"/>
          <w:szCs w:val="22"/>
        </w:rPr>
        <w:t>28652</w:t>
      </w:r>
    </w:p>
    <w:p>
      <w:pPr>
        <w:pStyle w:val="Normal"/>
        <w:rPr/>
      </w:pPr>
      <w:r>
        <w:rPr>
          <w:sz w:val="22"/>
          <w:szCs w:val="22"/>
        </w:rPr>
        <w:t>28719</w:t>
      </w:r>
    </w:p>
    <w:p>
      <w:pPr>
        <w:pStyle w:val="Normal"/>
        <w:rPr/>
      </w:pPr>
      <w:r>
        <w:rPr>
          <w:sz w:val="22"/>
          <w:szCs w:val="22"/>
        </w:rPr>
        <w:t>28669</w:t>
      </w:r>
    </w:p>
    <w:p>
      <w:pPr>
        <w:pStyle w:val="Normal"/>
        <w:rPr/>
      </w:pPr>
      <w:r>
        <w:rPr>
          <w:sz w:val="22"/>
          <w:szCs w:val="22"/>
        </w:rPr>
        <w:t>-0,17%</w:t>
      </w:r>
    </w:p>
    <w:p>
      <w:pPr>
        <w:pStyle w:val="Normal"/>
        <w:rPr/>
      </w:pPr>
      <w:r>
        <w:rPr>
          <w:sz w:val="22"/>
          <w:szCs w:val="22"/>
        </w:rPr>
        <w:t xml:space="preserve">Взрослые </w:t>
      </w:r>
    </w:p>
    <w:p>
      <w:pPr>
        <w:pStyle w:val="Normal"/>
        <w:rPr/>
      </w:pPr>
      <w:r>
        <w:rPr>
          <w:sz w:val="22"/>
          <w:szCs w:val="22"/>
        </w:rPr>
        <w:t>98861</w:t>
      </w:r>
    </w:p>
    <w:p>
      <w:pPr>
        <w:pStyle w:val="Normal"/>
        <w:rPr/>
      </w:pPr>
      <w:r>
        <w:rPr>
          <w:sz w:val="22"/>
          <w:szCs w:val="22"/>
        </w:rPr>
        <w:t>98646</w:t>
      </w:r>
    </w:p>
    <w:p>
      <w:pPr>
        <w:pStyle w:val="Normal"/>
        <w:rPr/>
      </w:pPr>
      <w:r>
        <w:rPr>
          <w:sz w:val="22"/>
          <w:szCs w:val="22"/>
        </w:rPr>
        <w:t>98877</w:t>
      </w:r>
    </w:p>
    <w:p>
      <w:pPr>
        <w:pStyle w:val="Normal"/>
        <w:rPr/>
      </w:pPr>
      <w:r>
        <w:rPr>
          <w:sz w:val="22"/>
          <w:szCs w:val="22"/>
        </w:rPr>
        <w:t>99165</w:t>
      </w:r>
    </w:p>
    <w:p>
      <w:pPr>
        <w:pStyle w:val="Normal"/>
        <w:rPr/>
      </w:pPr>
      <w:r>
        <w:rPr>
          <w:sz w:val="22"/>
          <w:szCs w:val="22"/>
        </w:rPr>
        <w:t>99094</w:t>
      </w:r>
    </w:p>
    <w:p>
      <w:pPr>
        <w:pStyle w:val="Normal"/>
        <w:rPr/>
      </w:pPr>
      <w:r>
        <w:rPr>
          <w:sz w:val="22"/>
          <w:szCs w:val="22"/>
        </w:rPr>
        <w:t>-0,07%</w:t>
      </w:r>
    </w:p>
    <w:p>
      <w:pPr>
        <w:pStyle w:val="Normal"/>
        <w:ind w:firstLine="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Перспектива демографического развития общества во многом предопределяется половозрастной структурой населения, от которой в значительной степени зависят уровни рождаемости, смертности, заболеваемости, брачности и миграции.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center"/>
        <w:rPr>
          <w:b/>
          <w:b/>
          <w:sz w:val="22"/>
          <w:szCs w:val="22"/>
        </w:rPr>
      </w:pPr>
      <w:r>
        <w:rPr/>
        <w:object w:dxaOrig="9638" w:dyaOrig="4392">
          <v:shape id="ole_rId2" style="width:482.25pt;height:219.75pt" o:ole="">
            <v:imagedata r:id="rId3" o:title=""/>
          </v:shape>
          <o:OLEObject Type="Embed" ProgID="Word.Document.12" ShapeID="ole_rId2" DrawAspect="Content" ObjectID="_901835069" r:id="rId2"/>
        </w:objec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проживает 127763 человека, в том числе 24324 детей до 14 лет. В 2022 году численность всего населения несколько уменьшилась – на 0,09%. Это объясняется снижением численности детского населения до 17 лет – на 0,17%, взрослого населения на 0,07%.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2022 году увеличилась численность подросткового населения (15-17 лет) на 1,9%.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Последовательная реализация государственной политики, направленной на ответственное отношение к здоровью, стимулирование рождаемости и поддержку молодых семей, улучшение их материального благосостояния и качество жизни, способствовали стабилизации показателя рождаемости.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/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/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Демографические показатели населения г. Новочебоксарска указаны в таблице 2.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Cs w:val="22"/>
        </w:rPr>
        <w:t>Таблица 2</w:t>
      </w:r>
    </w:p>
    <w:p>
      <w:pPr>
        <w:pStyle w:val="Normal"/>
        <w:rPr/>
      </w:pPr>
      <w:r>
        <w:rPr>
          <w:sz w:val="24"/>
        </w:rPr>
        <w:tab/>
      </w:r>
      <w:r>
        <w:rPr>
          <w:b/>
          <w:szCs w:val="22"/>
        </w:rPr>
        <w:t>Демографические показатели населения г. Новочебоксарск за 2016-2020гг.</w:t>
      </w:r>
    </w:p>
    <w:p>
      <w:pPr>
        <w:pStyle w:val="Normal"/>
        <w:rPr/>
      </w:pPr>
      <w:r>
        <w:rPr>
          <w:szCs w:val="22"/>
        </w:rPr>
        <w:t>№</w:t>
      </w:r>
    </w:p>
    <w:p>
      <w:pPr>
        <w:pStyle w:val="Normal"/>
        <w:rPr/>
      </w:pPr>
      <w:r>
        <w:rPr>
          <w:szCs w:val="22"/>
        </w:rPr>
        <w:t>п/п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Cs w:val="22"/>
        </w:rPr>
        <w:t>Годы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>
          <w:szCs w:val="22"/>
        </w:rPr>
        <w:t>2018</w:t>
      </w:r>
    </w:p>
    <w:p>
      <w:pPr>
        <w:pStyle w:val="Normal"/>
        <w:rPr/>
      </w:pPr>
      <w:r>
        <w:rPr>
          <w:szCs w:val="22"/>
        </w:rPr>
        <w:t>2019</w:t>
      </w:r>
    </w:p>
    <w:p>
      <w:pPr>
        <w:pStyle w:val="Normal"/>
        <w:rPr/>
      </w:pPr>
      <w:r>
        <w:rPr>
          <w:szCs w:val="22"/>
        </w:rPr>
        <w:t>2020</w:t>
      </w:r>
    </w:p>
    <w:p>
      <w:pPr>
        <w:pStyle w:val="Normal"/>
        <w:rPr/>
      </w:pPr>
      <w:r>
        <w:rPr>
          <w:szCs w:val="22"/>
        </w:rPr>
        <w:t>2021</w:t>
      </w:r>
    </w:p>
    <w:p>
      <w:pPr>
        <w:pStyle w:val="Normal"/>
        <w:rPr/>
      </w:pPr>
      <w:r>
        <w:rPr>
          <w:szCs w:val="22"/>
        </w:rPr>
        <w:t>2022</w:t>
      </w:r>
    </w:p>
    <w:p>
      <w:pPr>
        <w:pStyle w:val="Normal"/>
        <w:rPr/>
      </w:pPr>
      <w:r>
        <w:rPr>
          <w:szCs w:val="22"/>
        </w:rPr>
        <w:t>1.</w:t>
      </w:r>
    </w:p>
    <w:p>
      <w:pPr>
        <w:pStyle w:val="Normal"/>
        <w:rPr/>
      </w:pPr>
      <w:r>
        <w:rPr>
          <w:szCs w:val="22"/>
        </w:rPr>
        <w:t>Рождаемость на 1000 населения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10,3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9,5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8,9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9,1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7,8</w:t>
      </w:r>
    </w:p>
    <w:p>
      <w:pPr>
        <w:pStyle w:val="Normal"/>
        <w:rPr/>
      </w:pPr>
      <w:r>
        <w:rPr>
          <w:szCs w:val="22"/>
        </w:rPr>
        <w:t>2.</w:t>
      </w:r>
    </w:p>
    <w:p>
      <w:pPr>
        <w:pStyle w:val="Normal"/>
        <w:rPr/>
      </w:pPr>
      <w:r>
        <w:rPr>
          <w:szCs w:val="22"/>
        </w:rPr>
        <w:t>Общая смертность на 1000 населения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10,1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10,0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13,0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15,1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11,1</w:t>
      </w:r>
    </w:p>
    <w:p>
      <w:pPr>
        <w:pStyle w:val="Normal"/>
        <w:rPr/>
      </w:pPr>
      <w:r>
        <w:rPr>
          <w:szCs w:val="22"/>
        </w:rPr>
        <w:t>3.</w:t>
      </w:r>
    </w:p>
    <w:p>
      <w:pPr>
        <w:pStyle w:val="Normal"/>
        <w:rPr/>
      </w:pPr>
      <w:r>
        <w:rPr>
          <w:szCs w:val="22"/>
        </w:rPr>
        <w:t>Младенческая смертность на 1000 родившихся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4,2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0,8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2,6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1,7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Cs w:val="22"/>
        </w:rPr>
        <w:t>4.</w:t>
      </w:r>
    </w:p>
    <w:p>
      <w:pPr>
        <w:pStyle w:val="Normal"/>
        <w:rPr/>
      </w:pPr>
      <w:r>
        <w:rPr>
          <w:szCs w:val="22"/>
        </w:rPr>
        <w:t>Естественный прирост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0,2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-0,5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-4,1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-6,0</w:t>
      </w:r>
    </w:p>
    <w:tbl>
      <w:tblPr>
        <w:tblW w:w="9278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24"/>
        <w:gridCol w:w="2814"/>
        <w:gridCol w:w="1360"/>
        <w:gridCol w:w="1275"/>
        <w:gridCol w:w="1134"/>
        <w:gridCol w:w="1276"/>
        <w:gridCol w:w="994"/>
      </w:tblGrid>
      <w:tr>
        <w:trPr/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-3,3</w:t>
            </w:r>
          </w:p>
        </w:tc>
      </w:tr>
    </w:tbl>
    <w:p>
      <w:pPr>
        <w:pStyle w:val="Normal"/>
        <w:rPr/>
      </w:pPr>
      <w:r>
        <w:rPr>
          <w:szCs w:val="22"/>
        </w:rPr>
        <w:t>по Чувашской Республике</w:t>
      </w:r>
    </w:p>
    <w:p>
      <w:pPr>
        <w:pStyle w:val="Normal"/>
        <w:rPr/>
      </w:pPr>
      <w:r>
        <w:rPr>
          <w:szCs w:val="22"/>
        </w:rPr>
        <w:t>1.</w:t>
      </w:r>
    </w:p>
    <w:p>
      <w:pPr>
        <w:pStyle w:val="Normal"/>
        <w:rPr/>
      </w:pPr>
      <w:r>
        <w:rPr>
          <w:szCs w:val="22"/>
        </w:rPr>
        <w:t>Рождаемость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Cs w:val="22"/>
        </w:rPr>
        <w:t>10,6</w:t>
      </w:r>
    </w:p>
    <w:p>
      <w:pPr>
        <w:pStyle w:val="Normal"/>
        <w:rPr/>
      </w:pPr>
      <w:r>
        <w:rPr>
          <w:szCs w:val="22"/>
        </w:rPr>
        <w:t>9,5</w:t>
      </w:r>
    </w:p>
    <w:p>
      <w:pPr>
        <w:pStyle w:val="Normal"/>
        <w:rPr/>
      </w:pPr>
      <w:r>
        <w:rPr>
          <w:szCs w:val="22"/>
        </w:rPr>
        <w:t>9,3</w:t>
      </w:r>
    </w:p>
    <w:p>
      <w:pPr>
        <w:pStyle w:val="Normal"/>
        <w:rPr/>
      </w:pPr>
      <w:r>
        <w:rPr>
          <w:szCs w:val="22"/>
        </w:rPr>
        <w:t>9,2</w:t>
      </w:r>
    </w:p>
    <w:p>
      <w:pPr>
        <w:pStyle w:val="Normal"/>
        <w:rPr/>
      </w:pPr>
      <w:r>
        <w:rPr>
          <w:szCs w:val="22"/>
        </w:rPr>
        <w:t>8,4</w:t>
      </w:r>
    </w:p>
    <w:p>
      <w:pPr>
        <w:pStyle w:val="Normal"/>
        <w:rPr/>
      </w:pPr>
      <w:r>
        <w:rPr>
          <w:szCs w:val="22"/>
        </w:rPr>
        <w:t>2.</w:t>
      </w:r>
    </w:p>
    <w:p>
      <w:pPr>
        <w:pStyle w:val="Normal"/>
        <w:rPr/>
      </w:pPr>
      <w:r>
        <w:rPr>
          <w:szCs w:val="22"/>
        </w:rPr>
        <w:t>Общая смертность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Cs w:val="22"/>
        </w:rPr>
        <w:t>12,6</w:t>
      </w:r>
    </w:p>
    <w:p>
      <w:pPr>
        <w:pStyle w:val="Normal"/>
        <w:rPr/>
      </w:pPr>
      <w:r>
        <w:rPr>
          <w:szCs w:val="22"/>
        </w:rPr>
        <w:t>12,5</w:t>
      </w:r>
    </w:p>
    <w:p>
      <w:pPr>
        <w:pStyle w:val="Normal"/>
        <w:rPr/>
      </w:pPr>
      <w:r>
        <w:rPr>
          <w:szCs w:val="22"/>
        </w:rPr>
        <w:t>15,4</w:t>
      </w:r>
    </w:p>
    <w:p>
      <w:pPr>
        <w:pStyle w:val="Normal"/>
        <w:rPr/>
      </w:pPr>
      <w:r>
        <w:rPr>
          <w:szCs w:val="22"/>
        </w:rPr>
        <w:t>17,0</w:t>
      </w:r>
    </w:p>
    <w:p>
      <w:pPr>
        <w:pStyle w:val="Normal"/>
        <w:rPr/>
      </w:pPr>
      <w:r>
        <w:rPr>
          <w:szCs w:val="22"/>
        </w:rPr>
        <w:t>15,9</w:t>
      </w:r>
    </w:p>
    <w:p>
      <w:pPr>
        <w:pStyle w:val="Normal"/>
        <w:rPr/>
      </w:pPr>
      <w:r>
        <w:rPr>
          <w:szCs w:val="22"/>
        </w:rPr>
        <w:t>3.</w:t>
      </w:r>
    </w:p>
    <w:p>
      <w:pPr>
        <w:pStyle w:val="Normal"/>
        <w:rPr/>
      </w:pPr>
      <w:r>
        <w:rPr>
          <w:szCs w:val="22"/>
        </w:rPr>
        <w:t>Младенческая смертность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Cs w:val="22"/>
        </w:rPr>
        <w:t>3,3</w:t>
      </w:r>
    </w:p>
    <w:p>
      <w:pPr>
        <w:pStyle w:val="Normal"/>
        <w:rPr/>
      </w:pPr>
      <w:r>
        <w:rPr>
          <w:szCs w:val="22"/>
        </w:rPr>
        <w:t>3,3</w:t>
      </w:r>
    </w:p>
    <w:p>
      <w:pPr>
        <w:pStyle w:val="Normal"/>
        <w:rPr/>
      </w:pPr>
      <w:r>
        <w:rPr>
          <w:szCs w:val="22"/>
        </w:rPr>
        <w:t>2,1</w:t>
      </w:r>
    </w:p>
    <w:p>
      <w:pPr>
        <w:pStyle w:val="Normal"/>
        <w:rPr/>
      </w:pPr>
      <w:r>
        <w:rPr>
          <w:szCs w:val="22"/>
        </w:rPr>
        <w:t>2,6</w:t>
      </w:r>
    </w:p>
    <w:p>
      <w:pPr>
        <w:pStyle w:val="Normal"/>
        <w:rPr/>
      </w:pPr>
      <w:r>
        <w:rPr>
          <w:szCs w:val="22"/>
        </w:rPr>
        <w:t>2,2</w:t>
      </w:r>
    </w:p>
    <w:p>
      <w:pPr>
        <w:pStyle w:val="Normal"/>
        <w:rPr/>
      </w:pPr>
      <w:r>
        <w:rPr>
          <w:szCs w:val="22"/>
        </w:rPr>
        <w:t>4.</w:t>
      </w:r>
    </w:p>
    <w:p>
      <w:pPr>
        <w:pStyle w:val="Normal"/>
        <w:rPr/>
      </w:pPr>
      <w:r>
        <w:rPr>
          <w:szCs w:val="22"/>
        </w:rPr>
        <w:t>Естественный прирост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Cs w:val="22"/>
        </w:rPr>
        <w:t>-2,0</w:t>
      </w:r>
    </w:p>
    <w:p>
      <w:pPr>
        <w:pStyle w:val="Normal"/>
        <w:rPr/>
      </w:pPr>
      <w:r>
        <w:rPr>
          <w:szCs w:val="22"/>
        </w:rPr>
        <w:t>-3,0</w:t>
      </w:r>
    </w:p>
    <w:p>
      <w:pPr>
        <w:pStyle w:val="Normal"/>
        <w:rPr/>
      </w:pPr>
      <w:r>
        <w:rPr>
          <w:szCs w:val="22"/>
        </w:rPr>
        <w:t>-6,1</w:t>
      </w:r>
    </w:p>
    <w:p>
      <w:pPr>
        <w:pStyle w:val="Normal"/>
        <w:rPr/>
      </w:pPr>
      <w:r>
        <w:rPr>
          <w:szCs w:val="22"/>
        </w:rPr>
        <w:t>-7,8</w:t>
      </w:r>
    </w:p>
    <w:p>
      <w:pPr>
        <w:pStyle w:val="Normal"/>
        <w:rPr/>
      </w:pPr>
      <w:r>
        <w:rPr>
          <w:szCs w:val="22"/>
        </w:rPr>
        <w:t>-7,5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</w:rPr>
        <w:t xml:space="preserve">Из таблицы видно, что рождаемость в г. Новочебоксарск с 2018г. по 2022г. снизилась в 1,32 раза. По сравнению с 2021г.  рождаемость в 2022 году снизилась   на 14,3% и составила 7,8 на 1000 населения.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Общая смертность в 2022 году по сравнению с 2018 годом выросла на 9,9%, а по сравнению с 2021 годом уменьшилась на 26,5%, показатель составил 11,1% на 1000 населения. </w:t>
      </w:r>
      <w:r>
        <w:rPr>
          <w:sz w:val="24"/>
          <w:szCs w:val="24"/>
        </w:rPr>
        <w:t>В структуре причин смертности из года в год на первом месте болезни системы кровообращения, на втором месте травмы и несчастные случаи, новообразования и на третьем -  болезни органов дыхания.</w:t>
      </w:r>
    </w:p>
    <w:p>
      <w:pPr>
        <w:pStyle w:val="Normal"/>
        <w:rPr/>
      </w:pPr>
      <w:r>
        <w:rPr>
          <w:sz w:val="24"/>
        </w:rPr>
        <w:t xml:space="preserve">Соответственно естественный прирост по городу в 2022 году снизился по сравнению с 2018 годом в 1,8 раза: естественная убыль в 2022г. составила –3,3. С 2019г. впервые отметился отрицательный баланс и который отмечается и в 2022 году. В 2022 году естественная убыль населения города в сравнении с прошлым годом уменьшилась в 1,8 раза. </w:t>
      </w:r>
    </w:p>
    <w:p>
      <w:pPr>
        <w:pStyle w:val="Normal"/>
        <w:rPr/>
      </w:pPr>
      <w:r>
        <w:rPr>
          <w:sz w:val="24"/>
        </w:rPr>
        <w:t>По республике в целом рождаемость в 2022 году была выше, чем в городе Новочебоксарске, показатель составил в Чувашской Республике 8,4 на 1000 населения. Смертность по ЧР – выше в 1,43 раза, чем по городу. Естественный прирост (убыль) по городу в 2022 году ниже, чем в среднем по республике.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  <w:object w:dxaOrig="9638" w:dyaOrig="4130">
          <v:shape id="ole_rId4" style="width:482.25pt;height:206.25pt" o:ole="">
            <v:imagedata r:id="rId5" o:title=""/>
          </v:shape>
          <o:OLEObject Type="Embed" ProgID="Word.Document.12" ShapeID="ole_rId4" DrawAspect="Content" ObjectID="_268669332" r:id="rId4"/>
        </w:objec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Рис. 2. </w:t>
      </w:r>
      <w:r>
        <w:rPr>
          <w:sz w:val="22"/>
          <w:szCs w:val="22"/>
        </w:rPr>
        <w:t>Рождаемость населения г. Новочебоксарск на 1000 населения за 2013-2022гг.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3"/>
        <w:spacing w:before="120" w:after="120"/>
        <w:jc w:val="center"/>
        <w:rPr>
          <w:b/>
          <w:b/>
          <w:sz w:val="22"/>
          <w:szCs w:val="22"/>
        </w:rPr>
      </w:pPr>
      <w:r>
        <w:rPr/>
        <w:object w:dxaOrig="9638" w:dyaOrig="4246">
          <v:shape id="ole_rId6" style="width:482.25pt;height:212.25pt" o:ole="">
            <v:imagedata r:id="rId7" o:title=""/>
          </v:shape>
          <o:OLEObject Type="Embed" ProgID="Word.Document.12" ShapeID="ole_rId6" DrawAspect="Content" ObjectID="_672699530" r:id="rId6"/>
        </w:object>
      </w:r>
    </w:p>
    <w:p>
      <w:pPr>
        <w:pStyle w:val="3"/>
        <w:spacing w:before="120" w:after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Рис. 3. </w:t>
      </w:r>
      <w:r>
        <w:rPr>
          <w:sz w:val="22"/>
          <w:szCs w:val="22"/>
        </w:rPr>
        <w:t>Общая смертность населения г. Новочебоксарск на 1000 населения за 2013-2022гг.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Статью подготовила </w:t>
      </w:r>
    </w:p>
    <w:p>
      <w:pPr>
        <w:pStyle w:val="Normal"/>
        <w:rPr/>
      </w:pPr>
      <w:r>
        <w:rPr>
          <w:iCs/>
          <w:sz w:val="24"/>
          <w:szCs w:val="24"/>
        </w:rPr>
        <w:t>врач по общей гигиене                                                                               Смирнова М.А.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decimal"/>
      <w:lvlText w:val="1.%2."/>
      <w:lvlJc w:val="left"/>
      <w:pPr>
        <w:tabs>
          <w:tab w:val="num" w:pos="792"/>
        </w:tabs>
        <w:ind w:left="792" w:hanging="432"/>
      </w:pPr>
      <w:rPr>
        <w:i w:val="false"/>
        <w:b/>
        <w:color w:val="auto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14b5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f14b54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f14b54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f14b54"/>
    <w:pPr>
      <w:keepNext w:val="true"/>
      <w:outlineLvl w:val="2"/>
    </w:pPr>
    <w:rPr>
      <w:sz w:val="28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f14b54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f14b54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f14b54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docx"/><Relationship Id="rId3" Type="http://schemas.openxmlformats.org/officeDocument/2006/relationships/image" Target="media/image1.emf"/><Relationship Id="rId4" Type="http://schemas.openxmlformats.org/officeDocument/2006/relationships/package" Target="embeddings/oleObject2.docx"/><Relationship Id="rId5" Type="http://schemas.openxmlformats.org/officeDocument/2006/relationships/image" Target="media/image1.emf"/><Relationship Id="rId6" Type="http://schemas.openxmlformats.org/officeDocument/2006/relationships/package" Target="embeddings/oleObject3.docx"/><Relationship Id="rId7" Type="http://schemas.openxmlformats.org/officeDocument/2006/relationships/image" Target="media/image1.emf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LibreOffice/6.3.0.4$Windows_X86_64 LibreOffice_project/057fc023c990d676a43019934386b85b21a9ee99</Application>
  <Pages>5</Pages>
  <Words>510</Words>
  <Characters>3073</Characters>
  <CharactersWithSpaces>3551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2023-05-24T07:36:00Z</dcterms:created>
  <dc:creator>Смирнова Марина Александровна</dc:creator>
  <dc:description/>
  <dc:language>ru-RU</dc:language>
  <cp:lastModifiedBy/>
  <dcterms:modified xsi:type="dcterms:W3CDTF">2023-05-29T13:57:11Z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