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МИНИСТЕРСТВО ОБРАЗОВАНИЯ ЧУВАШСКОЙ РЕСПУБЛИКИ 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center"/>
        <w:spacing w:line="240" w:lineRule="auto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ИНФОРМИРУЕТ ОРГАНИЗАЦИИ, ОСУЩЕСТВЛЯЮЩИЕ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center"/>
        <w:spacing w:line="240" w:lineRule="auto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ОБРАЗОВАТЕЛЬНУЮ ДЕЯТЕЛЬНОСТЬ</w:t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pPr>
        <w:pStyle w:val="1_634"/>
        <w:ind w:firstLine="0"/>
        <w:jc w:val="both"/>
        <w:spacing w:before="0" w:beforeAutospacing="0" w:after="0" w:afterAutospacing="0" w:line="276" w:lineRule="auto"/>
        <w:shd w:val="clear" w:color="auto" w:fill="ffffff"/>
        <w:rPr>
          <w:rStyle w:val="174"/>
        </w:rPr>
      </w:pPr>
      <w:r>
        <w:rPr>
          <w:highlight w:val="none"/>
        </w:rPr>
      </w:r>
      <w:r>
        <w:rPr>
          <w:rStyle w:val="174"/>
        </w:rPr>
      </w:r>
      <w:r>
        <w:rPr>
          <w:rStyle w:val="174"/>
        </w:rPr>
      </w:r>
    </w:p>
    <w:p>
      <w:pPr>
        <w:ind w:left="0" w:right="0" w:firstLine="567"/>
        <w:jc w:val="both"/>
        <w:spacing w:before="0" w:after="0" w:line="240" w:lineRule="auto"/>
        <w:rPr>
          <w:rFonts w:ascii="PT Astra Serif" w:hAnsi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Федеральным законом от 13 декабря 2024 г. № 471-ФЗ «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Федерации»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далее - Федеральный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закон            № 471-ФЗ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внесены изменения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 Федеральный закон «Об образовании в Российской Федерации», которые закрепили </w:t>
      </w:r>
      <w:r>
        <w:rPr>
          <w:rFonts w:ascii="PT Astra Serif" w:hAnsi="PT Astra Serif" w:eastAsia="PT Astra Serif" w:cs="PT Astra Serif"/>
          <w:sz w:val="24"/>
          <w:szCs w:val="24"/>
        </w:rPr>
      </w:r>
      <w:bookmarkStart w:id="0" w:name="undefined"/>
      <w:r>
        <w:rPr>
          <w:rFonts w:ascii="PT Astra Serif" w:hAnsi="PT Astra Serif" w:eastAsia="PT Astra Serif" w:cs="PT Astra Serif"/>
          <w:sz w:val="24"/>
          <w:szCs w:val="24"/>
        </w:rPr>
      </w:r>
      <w:bookmarkEnd w:id="0"/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полномочия федеральных, региональных и местных органов власти по организации предоставления дополнительного образования взрослых по дополнительным образовательным программам спортивной подготовки.</w:t>
      </w:r>
      <w:r>
        <w:rPr>
          <w:rFonts w:ascii="PT Astra Serif" w:hAnsi="PT Astra Serif" w:cs="PT Astra Serif"/>
          <w:szCs w:val="24"/>
        </w:rPr>
      </w:r>
      <w:r>
        <w:rPr>
          <w:rFonts w:ascii="PT Astra Serif" w:hAnsi="PT Astra Serif" w:cs="PT Astra Serif"/>
          <w:szCs w:val="24"/>
        </w:rPr>
      </w:r>
    </w:p>
    <w:p>
      <w:pPr>
        <w:ind w:left="0" w:right="0" w:firstLine="567"/>
        <w:jc w:val="both"/>
        <w:spacing w:before="0" w:after="0" w:line="240" w:lineRule="auto"/>
        <w:rPr>
          <w:rFonts w:ascii="PT Astra Serif" w:hAnsi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  <w:t xml:space="preserve">Текст Федерального закона № 471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-ФЗ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опубликован на официальном интернет-портале правовой информации </w:t>
      </w:r>
      <w:hyperlink r:id="rId8" w:tooltip="&lt;div class=&quot;doc www&quot;&gt;&lt;span class=&quot;aligner&quot;&gt;&lt;div class=&quot;icon listDocWWW-16&quot;&gt;&lt;/div&gt;&lt;/span&gt;http://pravo.gov.ru&lt;/div&gt;" w:history="1">
        <w:r>
          <w:rPr>
            <w:rStyle w:val="174"/>
            <w:rFonts w:ascii="PT Astra Serif" w:hAnsi="PT Astra Serif" w:eastAsia="PT Astra Serif" w:cs="PT Astra Serif"/>
            <w:color w:val="0000ff"/>
            <w:sz w:val="24"/>
            <w:szCs w:val="24"/>
            <w:u w:val="none"/>
          </w:rPr>
          <w:t xml:space="preserve">http://pravo.gov.ru</w:t>
        </w:r>
      </w:hyperlink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- 13 декабря 2024.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Закон вступает в силу со дня опубликования.</w:t>
      </w:r>
      <w:r>
        <w:rPr>
          <w:rFonts w:ascii="PT Astra Serif" w:hAnsi="PT Astra Serif" w:cs="PT Astra Serif"/>
          <w:szCs w:val="24"/>
        </w:rPr>
      </w:r>
      <w:r>
        <w:rPr>
          <w:rFonts w:ascii="PT Astra Serif" w:hAnsi="PT Astra Serif" w:cs="PT Astra Serif"/>
          <w:szCs w:val="24"/>
        </w:rPr>
      </w:r>
    </w:p>
    <w:p>
      <w:pPr>
        <w:ind w:firstLine="540"/>
        <w:jc w:val="both"/>
        <w:rPr>
          <w:rFonts w:eastAsiaTheme="minorHAnsi"/>
          <w:color w:val="000000" w:themeColor="text1"/>
          <w:lang w:eastAsia="en-US"/>
        </w:rPr>
      </w:pPr>
      <w:r>
        <w:rPr>
          <w:highlight w:val="none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Normal (Web)"/>
    <w:basedOn w:val="854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avo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2024-12-26T12:22:15Z</dcterms:modified>
</cp:coreProperties>
</file>