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3"/>
        <w:spacing w:line="360" w:lineRule="auto"/>
        <w:ind w:right="140"/>
        <w:jc w:val="center"/>
      </w:pPr>
      <w:r>
        <w:t>ПОЯСНИТЕЛЬНАЯ ЗАПИСКА</w:t>
      </w:r>
    </w:p>
    <w:p>
      <w:pPr>
        <w:jc w:val="center"/>
        <w:rPr>
          <w:sz w:val="28"/>
          <w:szCs w:val="28"/>
        </w:rPr>
      </w:pPr>
      <w:r>
        <w:rPr>
          <w:sz w:val="28"/>
          <w:szCs w:val="28"/>
        </w:rPr>
        <w:t xml:space="preserve">к проекту решения Чебоксарского городского Собрания депутатов </w:t>
      </w:r>
    </w:p>
    <w:p>
      <w:pPr>
        <w:jc w:val="center"/>
        <w:rPr>
          <w:sz w:val="28"/>
          <w:szCs w:val="28"/>
        </w:rPr>
      </w:pPr>
      <w:r>
        <w:rPr>
          <w:sz w:val="28"/>
          <w:szCs w:val="28"/>
        </w:rPr>
        <w:t xml:space="preserve">«О законодательной инициативе Чебоксарского городского Собрания депутатов по внесению в Государственный Совет Чувашской Республики проекта закона Чувашской Республики «О внесении изменений в Закон Чувашской Республики «Об административных правонарушениях в Чувашской Республике» </w:t>
      </w:r>
    </w:p>
    <w:p>
      <w:pPr>
        <w:ind w:firstLine="709"/>
        <w:jc w:val="both"/>
        <w:rPr>
          <w:sz w:val="28"/>
          <w:szCs w:val="28"/>
        </w:rPr>
      </w:pPr>
    </w:p>
    <w:p>
      <w:pPr>
        <w:pStyle w:val="a6"/>
        <w:spacing w:line="276"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Настоящий проект решения подготовлен для внесения проекта закона в Государственный Совет Чувашской Республики в порядке законодательной инициативы Чебоксарским городским Собранием депутатов на основании статьи 85 Конституции Чувашской Республики и статьи 31 Устава муниципального образования города Чебоксары – столицы Чувашской Республики, принятого решением Чебоксарского городского Собрания депутатов от 30 ноября 2005 года № 40 (далее – Устава города Чебоксары).</w:t>
      </w:r>
    </w:p>
    <w:p>
      <w:pPr>
        <w:pStyle w:val="a6"/>
        <w:spacing w:line="276"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Проект закона разработан в целях реализации положений </w:t>
      </w:r>
      <w:r>
        <w:rPr>
          <w:rFonts w:ascii="Times New Roman" w:hAnsi="Times New Roman" w:cs="Times New Roman"/>
          <w:color w:val="auto"/>
          <w:sz w:val="28"/>
          <w:szCs w:val="28"/>
          <w:shd w:val="clear" w:color="auto" w:fill="FFFFFF"/>
        </w:rPr>
        <w:t>Закона Чувашской Республики от 18 октября 2004 года № 19</w:t>
      </w:r>
      <w:r>
        <w:rPr>
          <w:rFonts w:ascii="Times New Roman" w:hAnsi="Times New Roman" w:cs="Times New Roman"/>
          <w:color w:val="auto"/>
          <w:sz w:val="28"/>
          <w:szCs w:val="28"/>
        </w:rPr>
        <w:br/>
      </w:r>
      <w:r>
        <w:rPr>
          <w:rFonts w:ascii="Times New Roman" w:hAnsi="Times New Roman" w:cs="Times New Roman"/>
          <w:color w:val="auto"/>
          <w:sz w:val="28"/>
          <w:szCs w:val="28"/>
          <w:shd w:val="clear" w:color="auto" w:fill="FFFFFF"/>
        </w:rPr>
        <w:t xml:space="preserve">«Об организации местного самоуправления в Чувашской Республике» </w:t>
      </w:r>
      <w:r>
        <w:rPr>
          <w:rFonts w:ascii="Times New Roman" w:hAnsi="Times New Roman" w:cs="Times New Roman"/>
          <w:color w:val="auto"/>
          <w:sz w:val="28"/>
          <w:szCs w:val="28"/>
        </w:rPr>
        <w:t>(далее – Закон).</w:t>
      </w:r>
    </w:p>
    <w:p>
      <w:pPr>
        <w:pStyle w:val="a6"/>
        <w:spacing w:line="276"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 соответствии с частью 2 статьи 41.1 Закона </w:t>
      </w:r>
      <w:r>
        <w:rPr>
          <w:rFonts w:ascii="Times New Roman" w:hAnsi="Times New Roman" w:cs="Times New Roman"/>
          <w:color w:val="auto"/>
          <w:sz w:val="28"/>
          <w:szCs w:val="28"/>
          <w:shd w:val="clear" w:color="auto" w:fill="FFFFFF"/>
        </w:rPr>
        <w:t>Правила благоустройства территории муниципального образования могут регулировать вопросы восстановления элементов благоустройства, в том числе после проведения земляных работ</w:t>
      </w:r>
      <w:r>
        <w:rPr>
          <w:rFonts w:ascii="Times New Roman" w:hAnsi="Times New Roman" w:cs="Times New Roman"/>
          <w:color w:val="auto"/>
          <w:sz w:val="28"/>
          <w:szCs w:val="28"/>
        </w:rPr>
        <w:t>.</w:t>
      </w:r>
    </w:p>
    <w:p>
      <w:pPr>
        <w:pStyle w:val="a6"/>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Согласно Правилам благоустройства территории города Чебоксары, утвержденным решением Чебоксарского городского Собрания депутатов от 30 мая 2023 года № 1211 </w:t>
      </w:r>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 xml:space="preserve">далее </w:t>
      </w:r>
      <w:r>
        <w:rPr>
          <w:rFonts w:ascii="Times New Roman" w:eastAsia="Times New Roman" w:hAnsi="Times New Roman" w:cs="Times New Roman"/>
          <w:sz w:val="28"/>
          <w:szCs w:val="28"/>
        </w:rPr>
        <w:sym w:font="Symbol" w:char="F02D"/>
      </w:r>
      <w:r>
        <w:rPr>
          <w:rFonts w:ascii="Times New Roman" w:eastAsia="Times New Roman" w:hAnsi="Times New Roman" w:cs="Times New Roman"/>
          <w:sz w:val="28"/>
          <w:szCs w:val="28"/>
        </w:rPr>
        <w:t xml:space="preserve"> Правила</w:t>
      </w:r>
      <w:proofErr w:type="gramEnd"/>
      <w:r>
        <w:rPr>
          <w:rFonts w:ascii="Times New Roman" w:eastAsia="Times New Roman" w:hAnsi="Times New Roman" w:cs="Times New Roman"/>
          <w:sz w:val="28"/>
          <w:szCs w:val="28"/>
        </w:rPr>
        <w:t xml:space="preserve"> благоустройства территории города Чебоксары)</w:t>
      </w:r>
      <w:r>
        <w:rPr>
          <w:rFonts w:ascii="Times New Roman" w:hAnsi="Times New Roman" w:cs="Times New Roman"/>
          <w:sz w:val="28"/>
          <w:szCs w:val="28"/>
        </w:rPr>
        <w:t xml:space="preserve">, МКУ «Управление ЖКХ и благоустройства» города Чебоксары  предоставляет муниципальную услугу «Выдача ордера-разрешения на производство земляных работ, продление срока действия». Заявителями на предоставление муниципальной услуги являются физические лица, индивидуальные предприниматели, юридические лица. </w:t>
      </w:r>
    </w:p>
    <w:p>
      <w:pPr>
        <w:pStyle w:val="a6"/>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Так, в 2022 году на получение ордера-разрешения на производство земляных работ было подано 1450 заявлений, в 2023 году – 1530 заявлений, в 2024 году (с января по апрель включительно) – 388 заявлений.</w:t>
      </w:r>
    </w:p>
    <w:p>
      <w:pPr>
        <w:pStyle w:val="a6"/>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Сроки работ по восстановлению благоустройства территории после производства земляных работ регламентируются:</w:t>
      </w:r>
    </w:p>
    <w:p>
      <w:pPr>
        <w:pStyle w:val="a6"/>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1) ордером-разрешением на производство земляных работ (в котором сроки по восстановлению благоустройства территории установлены согласно приложенному к заявлению для получения ордера-разрешения графику производства работ);</w:t>
      </w:r>
    </w:p>
    <w:p>
      <w:pPr>
        <w:pStyle w:val="a6"/>
        <w:spacing w:line="276"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2) положениями </w:t>
      </w:r>
      <w:r>
        <w:rPr>
          <w:rFonts w:ascii="Times New Roman" w:eastAsia="Times New Roman" w:hAnsi="Times New Roman" w:cs="Times New Roman"/>
          <w:sz w:val="28"/>
          <w:szCs w:val="28"/>
        </w:rPr>
        <w:t xml:space="preserve">Правил благоустройства территории города Чебоксары при производстве аварийно-восстановительных работ на инженерных сетях </w:t>
      </w:r>
      <w:r>
        <w:rPr>
          <w:rFonts w:ascii="Times New Roman" w:hAnsi="Times New Roman" w:cs="Times New Roman"/>
          <w:sz w:val="28"/>
          <w:szCs w:val="28"/>
        </w:rPr>
        <w:t xml:space="preserve">– </w:t>
      </w:r>
      <w:r>
        <w:rPr>
          <w:rFonts w:ascii="Times New Roman" w:eastAsia="Times New Roman" w:hAnsi="Times New Roman" w:cs="Times New Roman"/>
          <w:sz w:val="28"/>
          <w:szCs w:val="28"/>
        </w:rPr>
        <w:t>нормативные сроки выполнения аварийных работ с восстановлением благоустройства в летнее время (с 16 апреля по 14 октября) составляют не более 5 суток, в зимнее время (с 15 октября по 15 апреля) – не более 7 суток.</w:t>
      </w:r>
    </w:p>
    <w:p>
      <w:pPr>
        <w:pStyle w:val="a6"/>
        <w:spacing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этом благоустройство территории</w:t>
      </w:r>
      <w:r>
        <w:rPr>
          <w:rFonts w:ascii="Times New Roman" w:eastAsia="Times New Roman" w:hAnsi="Times New Roman" w:cs="Times New Roman"/>
          <w:color w:val="000000"/>
          <w:sz w:val="28"/>
          <w:szCs w:val="28"/>
        </w:rPr>
        <w:t xml:space="preserve">, разрушенное в осенне-зимний период, восстанавливают </w:t>
      </w:r>
      <w:r>
        <w:rPr>
          <w:rFonts w:ascii="Times New Roman" w:eastAsia="Times New Roman" w:hAnsi="Times New Roman" w:cs="Times New Roman"/>
          <w:sz w:val="28"/>
          <w:szCs w:val="28"/>
        </w:rPr>
        <w:t xml:space="preserve">в полном объеме </w:t>
      </w:r>
      <w:r>
        <w:rPr>
          <w:rFonts w:ascii="Times New Roman" w:eastAsia="Times New Roman" w:hAnsi="Times New Roman" w:cs="Times New Roman"/>
          <w:color w:val="000000"/>
          <w:sz w:val="28"/>
          <w:szCs w:val="28"/>
        </w:rPr>
        <w:t>в соответствии с графиками, согласованными районными Управами администрации города Чебоксары.</w:t>
      </w:r>
    </w:p>
    <w:p>
      <w:pPr>
        <w:pStyle w:val="a6"/>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Физические лица, прокладывающие инженерные сети к индивидуальным жилым домам, и строительные организации часто нарушают сроки восстановления благоустройства территории после земляных работ, несмотря на приложенный к заявлению для получения ордера-разрешения график производства работ (в котором указаны сроки восстановления благоустройства территории).</w:t>
      </w:r>
    </w:p>
    <w:p>
      <w:pPr>
        <w:pStyle w:val="a6"/>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Кроме того, коммунальные предприятия, производящие аварийно-восстановительные работы на инженерных сетях, систематически нарушают предусмотренные Правилами благоустройства территории города Чебоксары сроки восстановления благоустройства территории после земляных работ. Так, утвержденный график восстановления благоустройства, нарушенного при производстве земляных работ в осенне-зимний период 2022–2023 годов, по состоянию на 4 июля 2023 года был</w:t>
      </w:r>
      <w:r>
        <w:rPr>
          <w:rFonts w:ascii="Times New Roman" w:hAnsi="Times New Roman" w:cs="Times New Roman"/>
          <w:b/>
          <w:bCs/>
          <w:sz w:val="28"/>
          <w:szCs w:val="28"/>
        </w:rPr>
        <w:t xml:space="preserve"> </w:t>
      </w:r>
      <w:r>
        <w:rPr>
          <w:rFonts w:ascii="Times New Roman" w:hAnsi="Times New Roman" w:cs="Times New Roman"/>
          <w:sz w:val="28"/>
          <w:szCs w:val="28"/>
        </w:rPr>
        <w:t xml:space="preserve">выполнен на 45,8 %. </w:t>
      </w:r>
    </w:p>
    <w:p>
      <w:pPr>
        <w:pStyle w:val="a6"/>
        <w:spacing w:line="276" w:lineRule="auto"/>
        <w:ind w:firstLine="567"/>
        <w:jc w:val="both"/>
        <w:rPr>
          <w:rFonts w:ascii="Times New Roman" w:hAnsi="Times New Roman" w:cs="Times New Roman"/>
          <w:b/>
          <w:bCs/>
          <w:sz w:val="28"/>
          <w:szCs w:val="28"/>
        </w:rPr>
      </w:pPr>
      <w:r>
        <w:rPr>
          <w:rFonts w:ascii="Times New Roman" w:hAnsi="Times New Roman" w:cs="Times New Roman"/>
          <w:sz w:val="28"/>
          <w:szCs w:val="28"/>
        </w:rPr>
        <w:tab/>
        <w:t>В связи с этим со стороны населения поступают соответствующие многочисленные жалобы и требования привлечь к административной ответственности за несвоевременное восстановление благоустройства территории после земляных работ.</w:t>
      </w:r>
    </w:p>
    <w:p>
      <w:pPr>
        <w:pStyle w:val="a6"/>
        <w:spacing w:line="276"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Так, в разных субъектах Российской Федерации предусмотрены следующие меры административного наказания за нарушение сроков восстановления благоустройства территории после производства земляных работ:</w:t>
      </w:r>
    </w:p>
    <w:p>
      <w:pPr>
        <w:pStyle w:val="a6"/>
        <w:spacing w:line="276"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пункт 2 ст. 3.5 Закона Нижегородской области </w:t>
      </w:r>
      <w:r>
        <w:rPr>
          <w:rFonts w:ascii="Times New Roman" w:hAnsi="Times New Roman" w:cs="Times New Roman"/>
          <w:color w:val="auto"/>
          <w:sz w:val="28"/>
          <w:szCs w:val="28"/>
          <w:shd w:val="clear" w:color="auto" w:fill="FFFFFF"/>
        </w:rPr>
        <w:t>от 20 мая 2003 года</w:t>
      </w:r>
      <w:r>
        <w:rPr>
          <w:rFonts w:ascii="Times New Roman" w:hAnsi="Times New Roman" w:cs="Times New Roman"/>
          <w:sz w:val="28"/>
          <w:szCs w:val="28"/>
        </w:rPr>
        <w:t xml:space="preserve">                           </w:t>
      </w:r>
      <w:r>
        <w:rPr>
          <w:rFonts w:ascii="Times New Roman" w:hAnsi="Times New Roman" w:cs="Times New Roman"/>
          <w:color w:val="auto"/>
          <w:sz w:val="28"/>
          <w:szCs w:val="28"/>
          <w:shd w:val="clear" w:color="auto" w:fill="FFFFFF"/>
        </w:rPr>
        <w:t>№ 34–З «Об </w:t>
      </w:r>
      <w:r>
        <w:rPr>
          <w:rFonts w:ascii="Times New Roman" w:hAnsi="Times New Roman" w:cs="Times New Roman"/>
          <w:bCs/>
          <w:color w:val="auto"/>
          <w:sz w:val="28"/>
          <w:szCs w:val="28"/>
          <w:shd w:val="clear" w:color="auto" w:fill="FFFFFF"/>
        </w:rPr>
        <w:t>административных</w:t>
      </w:r>
      <w:r>
        <w:rPr>
          <w:rFonts w:ascii="Times New Roman" w:hAnsi="Times New Roman" w:cs="Times New Roman"/>
          <w:color w:val="auto"/>
          <w:sz w:val="28"/>
          <w:szCs w:val="28"/>
          <w:shd w:val="clear" w:color="auto" w:fill="FFFFFF"/>
        </w:rPr>
        <w:t> </w:t>
      </w:r>
      <w:r>
        <w:rPr>
          <w:rFonts w:ascii="Times New Roman" w:hAnsi="Times New Roman" w:cs="Times New Roman"/>
          <w:bCs/>
          <w:color w:val="auto"/>
          <w:sz w:val="28"/>
          <w:szCs w:val="28"/>
          <w:shd w:val="clear" w:color="auto" w:fill="FFFFFF"/>
        </w:rPr>
        <w:t>правонарушениях</w:t>
      </w:r>
      <w:r>
        <w:rPr>
          <w:rFonts w:ascii="Times New Roman" w:hAnsi="Times New Roman" w:cs="Times New Roman"/>
          <w:color w:val="auto"/>
          <w:sz w:val="28"/>
          <w:szCs w:val="28"/>
          <w:shd w:val="clear" w:color="auto" w:fill="FFFFFF"/>
        </w:rPr>
        <w:t>»</w:t>
      </w:r>
      <w:r>
        <w:rPr>
          <w:rFonts w:ascii="Times New Roman" w:hAnsi="Times New Roman" w:cs="Times New Roman"/>
          <w:color w:val="auto"/>
          <w:sz w:val="28"/>
          <w:szCs w:val="28"/>
        </w:rPr>
        <w:t xml:space="preserve"> за невыполнение требований законов области и муниципальных нормативных правовых актов по  восстановлению благоустройства территории в срок, указанный в  разрешении (ордере) на производство земляных и ремонтных работ, по  своевременной ликвидации провала или иной деформации дорожного покрытия, вызванных производством работ, предусмотрено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w:t>
      </w:r>
      <w:r>
        <w:rPr>
          <w:rFonts w:ascii="Times New Roman" w:hAnsi="Times New Roman" w:cs="Times New Roman"/>
          <w:sz w:val="28"/>
          <w:szCs w:val="28"/>
        </w:rPr>
        <w:t xml:space="preserve">– </w:t>
      </w:r>
      <w:r>
        <w:rPr>
          <w:rFonts w:ascii="Times New Roman" w:hAnsi="Times New Roman" w:cs="Times New Roman"/>
          <w:color w:val="auto"/>
          <w:sz w:val="28"/>
          <w:szCs w:val="28"/>
        </w:rPr>
        <w:t>от пятидесяти тысяч до ста тысяч рублей;</w:t>
      </w:r>
    </w:p>
    <w:p>
      <w:pPr>
        <w:pStyle w:val="a6"/>
        <w:spacing w:line="276"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Pr>
          <w:rFonts w:ascii="Times New Roman" w:hAnsi="Times New Roman" w:cs="Times New Roman"/>
          <w:sz w:val="28"/>
          <w:szCs w:val="28"/>
        </w:rPr>
        <w:t>пункт 4 ст. 4.2 Закона Самарской области от 1 ноября 2007 года № 115–ГД «Об  </w:t>
      </w:r>
      <w:r>
        <w:rPr>
          <w:rFonts w:ascii="Times New Roman" w:hAnsi="Times New Roman" w:cs="Times New Roman"/>
          <w:bCs/>
          <w:color w:val="auto"/>
          <w:sz w:val="28"/>
          <w:szCs w:val="28"/>
          <w:shd w:val="clear" w:color="auto" w:fill="FFFFFF"/>
        </w:rPr>
        <w:t>административных</w:t>
      </w:r>
      <w:r>
        <w:rPr>
          <w:rFonts w:ascii="Times New Roman" w:hAnsi="Times New Roman" w:cs="Times New Roman"/>
          <w:color w:val="auto"/>
          <w:sz w:val="28"/>
          <w:szCs w:val="28"/>
          <w:shd w:val="clear" w:color="auto" w:fill="FFFFFF"/>
        </w:rPr>
        <w:t> </w:t>
      </w:r>
      <w:r>
        <w:rPr>
          <w:rFonts w:ascii="Times New Roman" w:hAnsi="Times New Roman" w:cs="Times New Roman"/>
          <w:bCs/>
          <w:color w:val="auto"/>
          <w:sz w:val="28"/>
          <w:szCs w:val="28"/>
          <w:shd w:val="clear" w:color="auto" w:fill="FFFFFF"/>
        </w:rPr>
        <w:t xml:space="preserve">правонарушениях на территории Самарской области» за </w:t>
      </w:r>
      <w:r>
        <w:rPr>
          <w:rFonts w:ascii="Times New Roman" w:hAnsi="Times New Roman" w:cs="Times New Roman"/>
          <w:sz w:val="28"/>
          <w:szCs w:val="28"/>
        </w:rPr>
        <w:t>н</w:t>
      </w:r>
      <w:r>
        <w:rPr>
          <w:rFonts w:ascii="Times New Roman" w:hAnsi="Times New Roman" w:cs="Times New Roman"/>
          <w:color w:val="auto"/>
          <w:sz w:val="28"/>
          <w:szCs w:val="28"/>
        </w:rPr>
        <w:t>еисполнение установленных правилами благоустройства территорий муниципальных образований требований по срокам проведения работ, а также по восстановлению благоустройства территории в месте проведения работ, предусмотрено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пятидесяти тысяч до ста тысяч рублей;</w:t>
      </w:r>
    </w:p>
    <w:p>
      <w:pPr>
        <w:pStyle w:val="a6"/>
        <w:spacing w:line="276"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Pr>
          <w:rFonts w:ascii="Times New Roman" w:hAnsi="Times New Roman" w:cs="Times New Roman"/>
          <w:sz w:val="28"/>
          <w:szCs w:val="28"/>
        </w:rPr>
        <w:t xml:space="preserve">пункт 1 ст. 3.1. (10) Закона Вологодской области от 8 декабря 2010 года № 2429–ОЗ «Об </w:t>
      </w:r>
      <w:r>
        <w:rPr>
          <w:rFonts w:ascii="Times New Roman" w:hAnsi="Times New Roman" w:cs="Times New Roman"/>
          <w:bCs/>
          <w:color w:val="auto"/>
          <w:sz w:val="28"/>
          <w:szCs w:val="28"/>
          <w:shd w:val="clear" w:color="auto" w:fill="FFFFFF"/>
        </w:rPr>
        <w:t>административных</w:t>
      </w:r>
      <w:r>
        <w:rPr>
          <w:rFonts w:ascii="Times New Roman" w:hAnsi="Times New Roman" w:cs="Times New Roman"/>
          <w:color w:val="auto"/>
          <w:sz w:val="28"/>
          <w:szCs w:val="28"/>
          <w:shd w:val="clear" w:color="auto" w:fill="FFFFFF"/>
        </w:rPr>
        <w:t> </w:t>
      </w:r>
      <w:r>
        <w:rPr>
          <w:rFonts w:ascii="Times New Roman" w:hAnsi="Times New Roman" w:cs="Times New Roman"/>
          <w:bCs/>
          <w:color w:val="auto"/>
          <w:sz w:val="28"/>
          <w:szCs w:val="28"/>
          <w:shd w:val="clear" w:color="auto" w:fill="FFFFFF"/>
        </w:rPr>
        <w:t xml:space="preserve">правонарушениях в Вологодской области» </w:t>
      </w:r>
      <w:r>
        <w:rPr>
          <w:rFonts w:ascii="Times New Roman" w:hAnsi="Times New Roman" w:cs="Times New Roman"/>
          <w:color w:val="000000" w:themeColor="text1"/>
          <w:sz w:val="28"/>
          <w:szCs w:val="28"/>
        </w:rPr>
        <w:t>за</w:t>
      </w:r>
      <w:r>
        <w:rPr>
          <w:color w:val="000000" w:themeColor="text1"/>
          <w:sz w:val="28"/>
          <w:szCs w:val="28"/>
        </w:rPr>
        <w:t xml:space="preserve">  </w:t>
      </w:r>
      <w:r>
        <w:rPr>
          <w:rFonts w:ascii="Times New Roman" w:hAnsi="Times New Roman" w:cs="Times New Roman"/>
          <w:color w:val="000000" w:themeColor="text1"/>
          <w:sz w:val="28"/>
          <w:szCs w:val="28"/>
        </w:rPr>
        <w:t>нарушение требований муниципальных правовых актов к порядку проведения земляных работ, выразившееся в проведении земляных работ без разрешения (ордера) на проведение земляных работ, выданного уполномоченным органом местного самоуправления муниципального образования, либо с нарушением сроков, установленных в разрешении (ордере), если такое разрешение (ордер) обязательно, или в графике проведения земляных работ, а равно в проведении земляных работ после приостановления действия разрешения (ордера), если эти действия (бездействие) не образуют состава административного правонарушения, предусмотренного Кодексом Российской Федерации об административных правонарушениях, предусмотрено предупреждение или наложение административного штрафа на граждан в размере от одной тысячи до трех тысяч рублей; наложение административного штрафа на должностных лиц – от десяти тысяч до двадцати тысяч рублей; наложение административного штрафа на юридических лиц – от пятидесяти тысяч до ста тысяч рублей.</w:t>
      </w:r>
    </w:p>
    <w:p>
      <w:pPr>
        <w:pStyle w:val="a6"/>
        <w:spacing w:line="276"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При этом в Чувашской Республике на законодательном уровне отсутствует мера воздействия в виде административного наказания граждан, должностных и юридических лиц, нарушивших сроки восстановления благоустройства территории после производства земляных работ.</w:t>
      </w:r>
    </w:p>
    <w:p>
      <w:pPr>
        <w:pStyle w:val="a6"/>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Проектом предлагается установить административную ответственность за </w:t>
      </w:r>
      <w:r>
        <w:rPr>
          <w:rFonts w:ascii="Times New Roman" w:hAnsi="Times New Roman" w:cs="Times New Roman"/>
          <w:bCs/>
          <w:sz w:val="28"/>
          <w:szCs w:val="28"/>
        </w:rPr>
        <w:t>нарушение установленных разрешением (ордером) сроков восстановления благоустройства территории после производства земляных работ в Чувашской Республике.</w:t>
      </w:r>
    </w:p>
    <w:p>
      <w:pPr>
        <w:pStyle w:val="a6"/>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Принятие проекта закона позволит повысить эффективность соблюдения требований разрешений (ордеров) на производство земляных работ в части сроков восстановления благоустройства территории после производства земляных работ, что, в свою очередь, будет способствовать санитарно-эпидемиологическому благополучию населения.</w:t>
      </w:r>
    </w:p>
    <w:p>
      <w:pPr>
        <w:pStyle w:val="a6"/>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Проект решения подготовлен с учетом требований р</w:t>
      </w:r>
      <w:bookmarkStart w:id="0" w:name="_GoBack"/>
      <w:bookmarkEnd w:id="0"/>
      <w:r>
        <w:rPr>
          <w:rFonts w:ascii="Times New Roman" w:hAnsi="Times New Roman" w:cs="Times New Roman"/>
          <w:sz w:val="28"/>
          <w:szCs w:val="28"/>
        </w:rPr>
        <w:t>ешения Чебоксарского городского Собрания депутатов 5 марта 2024 года № 1537 «</w:t>
      </w:r>
      <w:r>
        <w:rPr>
          <w:rFonts w:ascii="Times New Roman" w:hAnsi="Times New Roman" w:cs="Times New Roman"/>
          <w:sz w:val="28"/>
          <w:szCs w:val="28"/>
        </w:rPr>
        <w:t>Об утверждении Положения о порядке подготовки решений Чебоксарского городского Собрания депутатов</w:t>
      </w:r>
      <w:r>
        <w:rPr>
          <w:rFonts w:ascii="Times New Roman" w:hAnsi="Times New Roman" w:cs="Times New Roman"/>
          <w:sz w:val="28"/>
          <w:szCs w:val="28"/>
        </w:rPr>
        <w:t>» и размещен на сайте администрации города Чебоксары в сети Интернет для независимой антикоррупционной экспертизы.</w:t>
      </w:r>
    </w:p>
    <w:p>
      <w:pPr>
        <w:pStyle w:val="a6"/>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постановлением Кабинета Министров Чувашской Республики от 29 ноября 2012 года № 532 «О проведении оценки регулирующего воздействия проектов нормативных правовых актов Чувашской Республики»  оценка регулирующего воздействия настоящего проекта решения не требуется, поскольку проект решения не содержит положения,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w:t>
      </w:r>
    </w:p>
    <w:p>
      <w:pPr>
        <w:pStyle w:val="a6"/>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 принятии настоящего проекта решения, дополнительного финансирования из бюджета города Чебоксары, республиканского бюджета Чувашской Республики, и внесение изменений в муниципальные правовые акты города Чебоксары, в законы Чувашской Республики, признание их утратившими силу, их отмены не требуется.     </w:t>
      </w:r>
    </w:p>
    <w:p>
      <w:pPr>
        <w:pStyle w:val="a6"/>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p>
    <w:p>
      <w:pPr>
        <w:spacing w:line="100" w:lineRule="atLeast"/>
        <w:jc w:val="both"/>
        <w:rPr>
          <w:sz w:val="28"/>
          <w:szCs w:val="28"/>
        </w:rPr>
      </w:pPr>
    </w:p>
    <w:p>
      <w:pPr>
        <w:tabs>
          <w:tab w:val="left" w:pos="6946"/>
          <w:tab w:val="left" w:pos="7088"/>
          <w:tab w:val="left" w:pos="7938"/>
        </w:tabs>
        <w:autoSpaceDE w:val="0"/>
        <w:autoSpaceDN w:val="0"/>
        <w:adjustRightInd w:val="0"/>
        <w:jc w:val="both"/>
        <w:rPr>
          <w:sz w:val="28"/>
          <w:szCs w:val="28"/>
        </w:rPr>
      </w:pPr>
      <w:r>
        <w:rPr>
          <w:sz w:val="28"/>
          <w:szCs w:val="28"/>
        </w:rPr>
        <w:t>Председатель Чебоксарского</w:t>
      </w:r>
    </w:p>
    <w:p>
      <w:pPr>
        <w:tabs>
          <w:tab w:val="left" w:pos="6946"/>
          <w:tab w:val="left" w:pos="7088"/>
          <w:tab w:val="left" w:pos="7938"/>
        </w:tabs>
        <w:autoSpaceDE w:val="0"/>
        <w:autoSpaceDN w:val="0"/>
        <w:adjustRightInd w:val="0"/>
        <w:jc w:val="both"/>
        <w:rPr>
          <w:sz w:val="28"/>
          <w:szCs w:val="28"/>
        </w:rPr>
      </w:pPr>
      <w:r>
        <w:rPr>
          <w:sz w:val="28"/>
          <w:szCs w:val="28"/>
        </w:rPr>
        <w:t>городского Собрания депутатов                                                       Е.Н. Кадышев</w:t>
      </w:r>
    </w:p>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spacing w:line="100" w:lineRule="atLeast"/>
        <w:jc w:val="both"/>
        <w:rPr>
          <w:sz w:val="28"/>
          <w:szCs w:val="28"/>
        </w:rPr>
      </w:pPr>
    </w:p>
    <w:p>
      <w:pPr>
        <w:pStyle w:val="21"/>
        <w:widowControl w:val="0"/>
        <w:tabs>
          <w:tab w:val="left" w:pos="851"/>
          <w:tab w:val="left" w:pos="993"/>
        </w:tabs>
        <w:spacing w:after="0" w:line="100" w:lineRule="atLeast"/>
        <w:ind w:left="0"/>
        <w:jc w:val="both"/>
      </w:pPr>
    </w:p>
    <w:sectPr>
      <w:headerReference w:type="default" r:id="rId7"/>
      <w:pgSz w:w="11906" w:h="16838"/>
      <w:pgMar w:top="993" w:right="850"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0800461"/>
      <w:docPartObj>
        <w:docPartGallery w:val="Page Numbers (Top of Page)"/>
        <w:docPartUnique/>
      </w:docPartObj>
    </w:sdtPr>
    <w:sdtEndPr>
      <w:rPr>
        <w:b/>
        <w:sz w:val="16"/>
        <w:szCs w:val="16"/>
      </w:rPr>
    </w:sdtEndPr>
    <w:sdtContent>
      <w:p>
        <w:pPr>
          <w:pStyle w:val="a3"/>
          <w:jc w:val="center"/>
          <w:rPr>
            <w:b/>
            <w:sz w:val="16"/>
            <w:szCs w:val="16"/>
          </w:rPr>
        </w:pPr>
        <w:r>
          <w:rPr>
            <w:b/>
            <w:sz w:val="16"/>
            <w:szCs w:val="16"/>
          </w:rPr>
          <w:fldChar w:fldCharType="begin"/>
        </w:r>
        <w:r>
          <w:rPr>
            <w:b/>
            <w:sz w:val="16"/>
            <w:szCs w:val="16"/>
          </w:rPr>
          <w:instrText>PAGE   \* MERGEFORMAT</w:instrText>
        </w:r>
        <w:r>
          <w:rPr>
            <w:b/>
            <w:sz w:val="16"/>
            <w:szCs w:val="16"/>
          </w:rPr>
          <w:fldChar w:fldCharType="separate"/>
        </w:r>
        <w:r>
          <w:rPr>
            <w:b/>
            <w:noProof/>
            <w:sz w:val="16"/>
            <w:szCs w:val="16"/>
          </w:rPr>
          <w:t>4</w:t>
        </w:r>
        <w:r>
          <w:rPr>
            <w:b/>
            <w:sz w:val="16"/>
            <w:szCs w:val="16"/>
          </w:rPr>
          <w:fldChar w:fldCharType="end"/>
        </w:r>
      </w:p>
    </w:sdtContent>
  </w:sdt>
  <w:p>
    <w:pPr>
      <w:pStyle w:val="a3"/>
      <w:rPr>
        <w:sz w:val="6"/>
        <w:szCs w:val="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2E72C9"/>
    <w:multiLevelType w:val="hybridMultilevel"/>
    <w:tmpl w:val="BFD85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BC021C8"/>
    <w:multiLevelType w:val="hybridMultilevel"/>
    <w:tmpl w:val="682CEF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B04488-61CA-4053-A987-8FEB7FB27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pPr>
  </w:style>
  <w:style w:type="character" w:customStyle="1" w:styleId="a4">
    <w:name w:val="Верхний колонтитул Знак"/>
    <w:basedOn w:val="a0"/>
    <w:link w:val="a3"/>
    <w:uiPriority w:val="99"/>
    <w:rPr>
      <w:rFonts w:ascii="Times New Roman" w:eastAsia="Times New Roman" w:hAnsi="Times New Roman" w:cs="Times New Roman"/>
      <w:sz w:val="24"/>
      <w:szCs w:val="24"/>
      <w:lang w:eastAsia="ru-RU"/>
    </w:rPr>
  </w:style>
  <w:style w:type="paragraph" w:styleId="3">
    <w:name w:val="Body Text 3"/>
    <w:basedOn w:val="a"/>
    <w:link w:val="30"/>
    <w:semiHidden/>
    <w:pPr>
      <w:ind w:right="4570"/>
      <w:jc w:val="both"/>
    </w:pPr>
    <w:rPr>
      <w:sz w:val="28"/>
      <w:szCs w:val="28"/>
    </w:rPr>
  </w:style>
  <w:style w:type="character" w:customStyle="1" w:styleId="30">
    <w:name w:val="Основной текст 3 Знак"/>
    <w:basedOn w:val="a0"/>
    <w:link w:val="3"/>
    <w:semiHidden/>
    <w:rPr>
      <w:rFonts w:ascii="Times New Roman" w:eastAsia="Times New Roman" w:hAnsi="Times New Roman" w:cs="Times New Roman"/>
      <w:sz w:val="28"/>
      <w:szCs w:val="28"/>
      <w:lang w:eastAsia="ru-RU"/>
    </w:rPr>
  </w:style>
  <w:style w:type="character" w:customStyle="1" w:styleId="a5">
    <w:name w:val="Гипертекстовая ссылка"/>
    <w:basedOn w:val="a0"/>
    <w:uiPriority w:val="99"/>
    <w:rPr>
      <w:color w:val="106BBE"/>
    </w:rPr>
  </w:style>
  <w:style w:type="paragraph" w:customStyle="1" w:styleId="21">
    <w:name w:val="Основной текст с отступом 21"/>
    <w:basedOn w:val="a"/>
    <w:pPr>
      <w:suppressAutoHyphens/>
      <w:spacing w:after="120" w:line="480" w:lineRule="auto"/>
      <w:ind w:left="283"/>
    </w:pPr>
    <w:rPr>
      <w:rFonts w:ascii="Calibri" w:eastAsia="SimSun" w:hAnsi="Calibri" w:cs="Calibri"/>
      <w:color w:val="00000A"/>
      <w:sz w:val="22"/>
      <w:szCs w:val="22"/>
      <w:lang w:eastAsia="en-US"/>
    </w:rPr>
  </w:style>
  <w:style w:type="paragraph" w:styleId="a6">
    <w:name w:val="No Spacing"/>
    <w:uiPriority w:val="1"/>
    <w:qFormat/>
    <w:pPr>
      <w:suppressAutoHyphens/>
      <w:spacing w:after="0" w:line="240" w:lineRule="auto"/>
    </w:pPr>
    <w:rPr>
      <w:rFonts w:ascii="Calibri" w:eastAsia="SimSun" w:hAnsi="Calibri" w:cs="Calibri"/>
      <w:color w:val="00000A"/>
    </w:rPr>
  </w:style>
  <w:style w:type="paragraph" w:styleId="a7">
    <w:name w:val="Balloon Text"/>
    <w:basedOn w:val="a"/>
    <w:link w:val="a8"/>
    <w:uiPriority w:val="99"/>
    <w:semiHidden/>
    <w:unhideWhenUsed/>
    <w:rPr>
      <w:rFonts w:ascii="Segoe UI" w:hAnsi="Segoe UI" w:cs="Segoe UI"/>
      <w:sz w:val="18"/>
      <w:szCs w:val="18"/>
    </w:rPr>
  </w:style>
  <w:style w:type="character" w:customStyle="1" w:styleId="a8">
    <w:name w:val="Текст выноски Знак"/>
    <w:basedOn w:val="a0"/>
    <w:link w:val="a7"/>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621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1287</Words>
  <Characters>7338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gcheb_chgsd4</cp:lastModifiedBy>
  <cp:revision>6</cp:revision>
  <cp:lastPrinted>2024-06-03T13:43:00Z</cp:lastPrinted>
  <dcterms:created xsi:type="dcterms:W3CDTF">2024-06-03T11:03:00Z</dcterms:created>
  <dcterms:modified xsi:type="dcterms:W3CDTF">2024-06-03T13:44:00Z</dcterms:modified>
</cp:coreProperties>
</file>