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BC6" w:rsidRDefault="002714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Инструктивно-методические материалы по отдельным вопросам, связанным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с применением положений Федерального закона от 6 февраля 2023 г. № 12-ФЗ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"О внесении изменений в Федеральный закон "Об общих принципах организации публичной власти в субъектах Российской Федерации" </w:t>
      </w:r>
      <w:r>
        <w:rPr>
          <w:rFonts w:ascii="Times New Roman" w:hAnsi="Times New Roman" w:cs="Times New Roman"/>
          <w:b/>
          <w:sz w:val="28"/>
          <w:szCs w:val="28"/>
        </w:rPr>
        <w:br/>
        <w:t>и отдельные законодательные акты Российской Федерации"</w:t>
      </w:r>
    </w:p>
    <w:p w:rsidR="002A1BC6" w:rsidRDefault="002A1B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1BC6" w:rsidRDefault="00271463" w:rsidP="006265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марта 2023 г. вступ</w:t>
      </w:r>
      <w:r w:rsidR="0062653D">
        <w:rPr>
          <w:rFonts w:ascii="Times New Roman" w:hAnsi="Times New Roman" w:cs="Times New Roman"/>
          <w:bCs/>
          <w:sz w:val="28"/>
          <w:szCs w:val="28"/>
        </w:rPr>
        <w:t>ил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силу Федеральный закон от 6 февраля 2023 г.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№ 12-ФЗ "О внесении изменений в Федеральный закон "Об общих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принципах организации публичной власти в субъектах Российской Федерации"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и отдельные законодательные акты Российской Федерации" (далее – Федеральный </w:t>
      </w:r>
      <w:r>
        <w:rPr>
          <w:rFonts w:ascii="Times New Roman" w:hAnsi="Times New Roman" w:cs="Times New Roman"/>
          <w:bCs/>
          <w:sz w:val="28"/>
          <w:szCs w:val="28"/>
        </w:rPr>
        <w:br/>
        <w:t>закон № 12-ФЗ).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Федеральный закон № 12-ФЗ корректирует вопросы представления сведений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о доходах, расходах, об имуществе и обязательствах имущественного характера: 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депутатами законодательных органов субъектов Российской Федерации, осуществляющими свои полномочия без отрыва от основной деятельности (далее – региональные депутаты);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депутатами представительных органов муниципальных образований, осуществляющих свои полномочия на непостоянной основе (далее – муниципальные депутаты).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учетом предусмотренных изменений указанные депутаты представляют справки о доходах, расходах, об имуществе и обязательствах имущественного характера, форма которой утверждена Указом Президента Российской Федерации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от 23 июня 2014 г. № 460 "Об утверждении формы справки о доходах, расходах,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об имуществе и обязательствах имущественного характера и внесении изменений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в некоторые акты Президента Российской Федерации" (далее – справка), </w:t>
      </w:r>
      <w:r>
        <w:rPr>
          <w:rFonts w:ascii="Times New Roman" w:hAnsi="Times New Roman" w:cs="Times New Roman"/>
          <w:bCs/>
          <w:sz w:val="28"/>
          <w:szCs w:val="28"/>
        </w:rPr>
        <w:br/>
        <w:t>в следующих случаях: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 в </w:t>
      </w:r>
      <w:r>
        <w:rPr>
          <w:rFonts w:ascii="Times New Roman" w:hAnsi="Times New Roman" w:cs="Times New Roman"/>
          <w:sz w:val="28"/>
          <w:szCs w:val="28"/>
        </w:rPr>
        <w:t>течение четырех месяцев со дня избрания депутатом;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течение четырех месяцев со дня передачи вакантного депутатского мандата;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 рамках соответствующей декларационной кампании, если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течение отчетного периода совершена (-ы) сделка (-и), предусмотренная (-ые) частью 1 статьи 3 Федерального закона от 3 декабря 2012 г. № 230-ФЗ "О контроле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за соответствием расходов лиц, замещающих государственные должности, и иных лиц их доходам" (далее – Федеральный закон № 230-ФЗ), общая сумма </w:t>
      </w:r>
      <w:r>
        <w:rPr>
          <w:rFonts w:ascii="Times New Roman" w:hAnsi="Times New Roman" w:cs="Times New Roman"/>
          <w:bCs/>
          <w:sz w:val="28"/>
          <w:szCs w:val="28"/>
        </w:rPr>
        <w:br/>
        <w:t>которой (-ых) превышает общий доход депутата и его супруги (супруга) за три последних года, предшествующих отчетному периоду (далее – контролируемые сделки).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Обращаем внимание, что Федеральным законом № 12-ФЗ исключены положения, согласно которым справки представляются в случае прекращения осуществления [депутатом сельского поселения] полномочий на постоянной основе.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Одновременно в ситуации представления справки на основании контролируемых сделок такие справки представляются только в отношении отчетного года, а не за каждый предшествующий год. 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случае, если депутатом, его супругой (супругом) </w:t>
      </w:r>
      <w:r>
        <w:rPr>
          <w:rFonts w:ascii="Times New Roman" w:hAnsi="Times New Roman" w:cs="Times New Roman"/>
          <w:bCs/>
          <w:sz w:val="28"/>
          <w:szCs w:val="28"/>
        </w:rPr>
        <w:br/>
        <w:t>и (или) несовершеннолетним ребенком в отчетном периоде не совершались контролируемые сделки, то сообщать об этом необходимо следующим образом: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 региональный депутат – в соответствующую комиссию законодательного органа субъекта Российской Федерации по контролю за достоверностью сведений </w:t>
      </w:r>
      <w:r>
        <w:rPr>
          <w:rFonts w:ascii="Times New Roman" w:hAnsi="Times New Roman" w:cs="Times New Roman"/>
          <w:bCs/>
          <w:sz w:val="28"/>
          <w:szCs w:val="28"/>
        </w:rPr>
        <w:br/>
        <w:t>о доходах, об имуществе и обязательствах имущественного характера, представляемых депутатами законодательного органа субъекта Российской Федерации (далее – комиссия), в порядке, установленном законом субъекта Российской Федерации</w:t>
      </w:r>
      <w:r w:rsidR="00826CAB">
        <w:rPr>
          <w:rFonts w:ascii="Times New Roman" w:hAnsi="Times New Roman" w:cs="Times New Roman"/>
          <w:bCs/>
          <w:sz w:val="28"/>
          <w:szCs w:val="28"/>
        </w:rPr>
        <w:t>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 муниципальный депутат – </w:t>
      </w:r>
      <w:r>
        <w:rPr>
          <w:rFonts w:ascii="Times New Roman" w:hAnsi="Times New Roman" w:cs="Times New Roman"/>
          <w:sz w:val="28"/>
          <w:szCs w:val="28"/>
        </w:rPr>
        <w:t>высшему должностному лицу субъекта Российской Федерации в порядке, установленном законом субъекта Российской Федерации.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Рекомендуемая форма сообщения о несовершении в отчетном периоде сделок, предусмотренных частью 1 статьи 3 Федерального закона от 3 декабря 2012 г.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№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депутата и его супруги (супруга) за три последних года, предшествующих отчетному периоду (далее – сообщение), приведена в приложении к настоящим </w:t>
      </w:r>
      <w:r w:rsidR="004778E5">
        <w:rPr>
          <w:rFonts w:ascii="Times New Roman" w:hAnsi="Times New Roman" w:cs="Times New Roman"/>
          <w:bCs/>
          <w:sz w:val="28"/>
          <w:szCs w:val="28"/>
        </w:rPr>
        <w:t>инструктивно-</w:t>
      </w:r>
      <w:r>
        <w:rPr>
          <w:rFonts w:ascii="Times New Roman" w:hAnsi="Times New Roman" w:cs="Times New Roman"/>
          <w:bCs/>
          <w:sz w:val="28"/>
          <w:szCs w:val="28"/>
        </w:rPr>
        <w:t>методическим материалам.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Сообщение целесообразно направлять в двух экземплярах, один из которых остается соответственно в комиссии или у высшего должностного лица субъекта Российской Федерации, второй возвращается депутату, направившему такое сообщение, с отметкой о принятии (альтернативой в ситуации направления сообщения посредством почтовой связи может быть направление сообщения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в единственном экземпляре, при этом подтверждением исполнения депутатом обязанности может быть опись вложения с отметкой почты о приемке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к отправлению письма и квитанция об отправке почтой). 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Сообщение может быть представлено как лично, так и направлено посредством почтовой связи. Требования к способам заполнения сообщения,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как правило, не устанавливаются. 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Указанное нормативно-правовое регулирование действ</w:t>
      </w:r>
      <w:r w:rsidR="0062653D">
        <w:rPr>
          <w:rFonts w:ascii="Times New Roman" w:hAnsi="Times New Roman" w:cs="Times New Roman"/>
          <w:bCs/>
          <w:sz w:val="28"/>
          <w:szCs w:val="28"/>
        </w:rPr>
        <w:t>ует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с 1 марта 2023 г. </w:t>
      </w:r>
      <w:r w:rsidR="0062653D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и, как следствие, затрагивает правоотношения, связанные с декларационной кампанией 2023 года.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связи с изменениями, внесенными Федеральным законом № 12-ФЗ, субъектам Российской Федерации необходимо привести свои нормативные правовые акты в соответствие с ними.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корректировке своих нормативных правовых актов субъектам Российской Федерации целесообразно исходить из следующего.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Представление кандидатом на должность депутата сведений о размере </w:t>
      </w:r>
      <w:r>
        <w:rPr>
          <w:rFonts w:ascii="Times New Roman" w:hAnsi="Times New Roman" w:cs="Times New Roman"/>
          <w:sz w:val="28"/>
          <w:szCs w:val="28"/>
        </w:rPr>
        <w:br/>
        <w:t xml:space="preserve">и об источниках доходов кандидата, а также об имуществе, принадлежащем кандидату на праве собственности (в том числе совместной собственности), </w:t>
      </w:r>
      <w:r>
        <w:rPr>
          <w:rFonts w:ascii="Times New Roman" w:hAnsi="Times New Roman" w:cs="Times New Roman"/>
          <w:sz w:val="28"/>
          <w:szCs w:val="28"/>
        </w:rPr>
        <w:br/>
        <w:t xml:space="preserve">о вкладах в банках, ценных бумагах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br/>
        <w:t xml:space="preserve">от 12 июня 2002 г. № 67-ФЗ "Об основных гарантиях избирательных прав и права </w:t>
      </w:r>
      <w:r>
        <w:rPr>
          <w:rFonts w:ascii="Times New Roman" w:hAnsi="Times New Roman" w:cs="Times New Roman"/>
          <w:sz w:val="28"/>
          <w:szCs w:val="28"/>
        </w:rPr>
        <w:br/>
        <w:t xml:space="preserve">на участие в референдуме граждан Российской Федерации" не освобождает </w:t>
      </w:r>
      <w:r>
        <w:rPr>
          <w:rFonts w:ascii="Times New Roman" w:hAnsi="Times New Roman" w:cs="Times New Roman"/>
          <w:sz w:val="28"/>
          <w:szCs w:val="28"/>
        </w:rPr>
        <w:br/>
        <w:t>его в случае избрания на должность депутата от обязанности представить справку.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учетом положений Федерального закона № 230-ФЗ при представлении справки в течение четырех месяцев со дня избрания депутатом или передачи вакантного депутатского мандата, сведения о расходах не представляются.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четырехмесячный срок начинает исчисляться со дня принятия избирательной комиссией соответствующего решения.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представлении справки в течение четырех месяцев со дня избрания депутатом или передачи вакантного депутатского мандата депутат представляет: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сведения о своих доходах, доходах супруги (супруга) и несовершеннолетних детей, полученных от всех источников за календарный год, предшествующий году избрания депутатом, передачи вакантного депутатского мандата (с 1 января </w:t>
      </w:r>
      <w:r>
        <w:rPr>
          <w:rFonts w:ascii="Times New Roman" w:hAnsi="Times New Roman" w:cs="Times New Roman"/>
          <w:sz w:val="28"/>
          <w:szCs w:val="28"/>
        </w:rPr>
        <w:br/>
        <w:t xml:space="preserve">по 31 декабря), а также 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</w:t>
      </w:r>
      <w:r w:rsidR="007156F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об утилитарных цифровых правах и цифровой валюте, отчужденных в течение указанного периода в результате безвозмездной сделки;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сведения об имуществе, принадлежащем ему, его супруге (супругу) </w:t>
      </w:r>
      <w:r>
        <w:rPr>
          <w:rFonts w:ascii="Times New Roman" w:hAnsi="Times New Roman" w:cs="Times New Roman"/>
          <w:sz w:val="28"/>
          <w:szCs w:val="28"/>
        </w:rPr>
        <w:br/>
        <w:t xml:space="preserve">и несовершеннолетним детям на праве собственности, сведения о счетах в банках </w:t>
      </w:r>
      <w:r>
        <w:rPr>
          <w:rFonts w:ascii="Times New Roman" w:hAnsi="Times New Roman" w:cs="Times New Roman"/>
          <w:sz w:val="28"/>
          <w:szCs w:val="28"/>
        </w:rPr>
        <w:br/>
        <w:t>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избрания депутатом, передачи вакантного депутатского мандата.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Сообщение представляется в сроки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br/>
        <w:t xml:space="preserve">(как правило, с 1 января по 1 (30) апреля). 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к контролируемым сделкам не относятся: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сделки, совершенные супругой (супругом) депутата до вступления с ним </w:t>
      </w:r>
      <w:r>
        <w:rPr>
          <w:rFonts w:ascii="Times New Roman" w:hAnsi="Times New Roman" w:cs="Times New Roman"/>
          <w:sz w:val="28"/>
          <w:szCs w:val="28"/>
        </w:rPr>
        <w:br/>
        <w:t>в брак;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сделки, совершенные соответствующим лицом, его супругой (супругом) </w:t>
      </w:r>
      <w:r w:rsidR="00826CA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несовершеннолетними детьми до замещения должности депутата.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 С учетом территориальных и иных особенностей субъектов Российской Федерации полномочия по сбору и первичному анализу сообщений муниципальных депутатов могут быть делегированы муниципальным образованиям.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частности, при определении порядка направления сообщения необходимо учитывать, что в соответствии с частью 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статьи 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 xml:space="preserve">от 25 декабря 2008 г. № 273-ФЗ "О противодействии коррупции" </w:t>
      </w:r>
      <w:r>
        <w:rPr>
          <w:rFonts w:ascii="Times New Roman" w:hAnsi="Times New Roman" w:cs="Times New Roman"/>
          <w:sz w:val="28"/>
          <w:szCs w:val="28"/>
        </w:rPr>
        <w:br/>
        <w:t xml:space="preserve">(в ред. Федерального закона № 12-ФЗ) обобщенная информация об исполнении (ненадлежащем исполнении) муниципальными депутатами обязанности представить справки (далее – обобщенная информация)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</w:t>
      </w:r>
      <w:r>
        <w:rPr>
          <w:rFonts w:ascii="Times New Roman" w:hAnsi="Times New Roman" w:cs="Times New Roman"/>
          <w:sz w:val="28"/>
          <w:szCs w:val="28"/>
        </w:rPr>
        <w:br/>
        <w:t>и данных, позволяющих индивидуализировать имущество, принадлежащее соответствующему лицу) в информационно-телекоммуникационной сети "Интернет" в порядке, установленном законом субъекта Российской Федерации.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субъекту Российской Федерации рекомендуется предусмотреть следующий порядок представления сообщений муниципальными депутатами: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 муниципальный депутат представляет сообщение в уполномоченное структурное подразделение органа местного самоуправления (сотруднику, ответственному за работу по профилактике коррупционных и иных правонарушений) (далее – уполномоченное структурное подразделение);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уполномоченное структурное подразделение проводит оценку и анализ сообщения;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уполномоченное структурное подразделение производит фиксацию необходимой информации для ее последующего использования при размещении обобщенной информации;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уполномоченное структурное подразделение после сбора сообщений направляет их единым пакетом высшему должностному лицу субъекта Российской Федерации;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после получения сообщений орган субъекта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по профилактике коррупционных и иных правонарушений (далее – антикоррупционный орган) проводит предусмотренные законодательством Российской Федерации мероприятия, в том числе анализ представленных сообщений, а в случае необходимости – соответствующую проверку;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в случае выявления фактов ненадлежащего исполнения муниципальным депутатом обязанности антикоррупционный орган информирует об этом уполномоченное структурное подразделение для корректировки размещенной обобщенной информации.</w:t>
      </w:r>
    </w:p>
    <w:p w:rsidR="002A1BC6" w:rsidRPr="007156F8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7156F8">
        <w:rPr>
          <w:rFonts w:ascii="Times New Roman" w:hAnsi="Times New Roman"/>
          <w:bCs/>
          <w:sz w:val="28"/>
          <w:szCs w:val="28"/>
        </w:rPr>
        <w:t xml:space="preserve">. Поскольку в практике могу встречаться случаи, при которых депутат </w:t>
      </w:r>
      <w:r w:rsidRPr="007156F8">
        <w:rPr>
          <w:rFonts w:ascii="Times New Roman" w:hAnsi="Times New Roman"/>
          <w:bCs/>
          <w:sz w:val="28"/>
          <w:szCs w:val="28"/>
        </w:rPr>
        <w:br/>
        <w:t>в рамках декларационной кампании 2023 года представ</w:t>
      </w:r>
      <w:r w:rsidR="00826CAB" w:rsidRPr="007156F8">
        <w:rPr>
          <w:rFonts w:ascii="Times New Roman" w:hAnsi="Times New Roman"/>
          <w:bCs/>
          <w:sz w:val="28"/>
          <w:szCs w:val="28"/>
        </w:rPr>
        <w:t xml:space="preserve">ил справку до 1 марта </w:t>
      </w:r>
      <w:r w:rsidR="00826CAB" w:rsidRPr="007156F8">
        <w:rPr>
          <w:rFonts w:ascii="Times New Roman" w:hAnsi="Times New Roman"/>
          <w:bCs/>
          <w:sz w:val="28"/>
          <w:szCs w:val="28"/>
        </w:rPr>
        <w:br/>
        <w:t>2023 г.</w:t>
      </w:r>
      <w:r w:rsidRPr="007156F8">
        <w:rPr>
          <w:rFonts w:ascii="Times New Roman" w:hAnsi="Times New Roman"/>
          <w:bCs/>
          <w:sz w:val="28"/>
          <w:szCs w:val="28"/>
        </w:rPr>
        <w:t xml:space="preserve"> (т.е. до вступления в силу Федерального закона № 12-ФЗ), то в законе субъекта Российской Федерации целесообразно предусмотреть, что такие депутаты считаются исполнившими обязанность</w:t>
      </w:r>
      <w:r w:rsidR="004778E5" w:rsidRPr="007156F8">
        <w:rPr>
          <w:rFonts w:ascii="Times New Roman" w:hAnsi="Times New Roman"/>
          <w:bCs/>
          <w:sz w:val="28"/>
          <w:szCs w:val="28"/>
        </w:rPr>
        <w:t>.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 w:rsidRPr="007156F8">
        <w:rPr>
          <w:rFonts w:ascii="Times New Roman" w:hAnsi="Times New Roman"/>
          <w:bCs/>
          <w:sz w:val="28"/>
          <w:szCs w:val="28"/>
        </w:rPr>
        <w:t>При этом необходимо учитывать, что представленные справки</w:t>
      </w:r>
      <w:r>
        <w:rPr>
          <w:rFonts w:ascii="Times New Roman" w:hAnsi="Times New Roman"/>
          <w:bCs/>
          <w:sz w:val="28"/>
          <w:szCs w:val="28"/>
        </w:rPr>
        <w:t xml:space="preserve"> подлежат анализу. При необходимости может быть осуществлена проверка достоверности </w:t>
      </w:r>
      <w:r>
        <w:rPr>
          <w:rFonts w:ascii="Times New Roman" w:hAnsi="Times New Roman"/>
          <w:bCs/>
          <w:sz w:val="28"/>
          <w:szCs w:val="28"/>
        </w:rPr>
        <w:br/>
        <w:t xml:space="preserve">и полноты содержащихся в них сведений с возможностью применения мер ответственности в случае выявления фактов представления недостоверных </w:t>
      </w:r>
      <w:r>
        <w:rPr>
          <w:rFonts w:ascii="Times New Roman" w:hAnsi="Times New Roman"/>
          <w:bCs/>
          <w:sz w:val="28"/>
          <w:szCs w:val="28"/>
        </w:rPr>
        <w:br/>
        <w:t xml:space="preserve">или неполных сведений. </w:t>
      </w:r>
    </w:p>
    <w:p w:rsidR="002A1BC6" w:rsidRDefault="00271463">
      <w:pPr>
        <w:pStyle w:val="afc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Кроме того, возможно осуществление проверки в отношении сведений </w:t>
      </w:r>
      <w:r>
        <w:rPr>
          <w:rFonts w:ascii="Times New Roman" w:hAnsi="Times New Roman"/>
          <w:bCs/>
          <w:sz w:val="28"/>
          <w:szCs w:val="28"/>
        </w:rPr>
        <w:br/>
        <w:t xml:space="preserve">о доходах, об имуществе и обязательствах имущественного характера, представленных депутатами в предыдущие декларационные кампании </w:t>
      </w:r>
      <w:r>
        <w:rPr>
          <w:rFonts w:ascii="Times New Roman" w:hAnsi="Times New Roman"/>
          <w:bCs/>
          <w:sz w:val="28"/>
          <w:szCs w:val="28"/>
        </w:rPr>
        <w:br/>
        <w:t>в установленном порядке. При выявлении в рамках таких проверок фактов совершения депутатами коррупционных правонарушений, они подлежат привлечению к ответственности в соответствии с законодательством Российской Федерации о противодействии коррупции.</w:t>
      </w:r>
    </w:p>
    <w:p w:rsidR="002A1BC6" w:rsidRDefault="004778E5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271463">
        <w:rPr>
          <w:rFonts w:ascii="Times New Roman" w:hAnsi="Times New Roman"/>
          <w:bCs/>
          <w:sz w:val="28"/>
          <w:szCs w:val="28"/>
        </w:rPr>
        <w:t xml:space="preserve">. В практике возможны ситуации, когда избрание депутатом или передача вакантного депутатского мандата осуществлена, например, в </w:t>
      </w:r>
      <w:r>
        <w:rPr>
          <w:rFonts w:ascii="Times New Roman" w:hAnsi="Times New Roman"/>
          <w:bCs/>
          <w:sz w:val="28"/>
          <w:szCs w:val="28"/>
        </w:rPr>
        <w:t xml:space="preserve">феврале </w:t>
      </w:r>
      <w:r w:rsidR="00271463">
        <w:rPr>
          <w:rFonts w:ascii="Times New Roman" w:hAnsi="Times New Roman"/>
          <w:bCs/>
          <w:sz w:val="28"/>
          <w:szCs w:val="28"/>
        </w:rPr>
        <w:t>202</w:t>
      </w:r>
      <w:r>
        <w:rPr>
          <w:rFonts w:ascii="Times New Roman" w:hAnsi="Times New Roman"/>
          <w:bCs/>
          <w:sz w:val="28"/>
          <w:szCs w:val="28"/>
        </w:rPr>
        <w:t>3</w:t>
      </w:r>
      <w:r w:rsidR="00271463">
        <w:rPr>
          <w:rFonts w:ascii="Times New Roman" w:hAnsi="Times New Roman"/>
          <w:bCs/>
          <w:sz w:val="28"/>
          <w:szCs w:val="28"/>
        </w:rPr>
        <w:t xml:space="preserve"> года.</w:t>
      </w:r>
    </w:p>
    <w:p w:rsidR="002A1BC6" w:rsidRDefault="00271463">
      <w:pPr>
        <w:pStyle w:val="afc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такой ситуации целесообразно руководствоваться следующим подходом.</w:t>
      </w:r>
    </w:p>
    <w:p w:rsidR="002A1BC6" w:rsidRDefault="00271463">
      <w:pPr>
        <w:pStyle w:val="afc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Избрание депутатом или передача вакантного депутатского мандата </w:t>
      </w:r>
      <w:r>
        <w:rPr>
          <w:rFonts w:ascii="Times New Roman" w:hAnsi="Times New Roman"/>
          <w:bCs/>
          <w:sz w:val="28"/>
          <w:szCs w:val="28"/>
        </w:rPr>
        <w:br/>
        <w:t xml:space="preserve">до 1 марта 2023 г. не образует обязанность представить сведения о доходах </w:t>
      </w:r>
      <w:r>
        <w:rPr>
          <w:rFonts w:ascii="Times New Roman" w:hAnsi="Times New Roman"/>
          <w:bCs/>
          <w:sz w:val="28"/>
          <w:szCs w:val="28"/>
        </w:rPr>
        <w:br/>
        <w:t>в течение четырех месяцев со дня наступления соответствующего события, учитывая, что Федеральный закон № 12-ФЗ вступает в силу с 1 марта 2023 г.</w:t>
      </w:r>
    </w:p>
    <w:p w:rsidR="002A1BC6" w:rsidRDefault="00271463">
      <w:pPr>
        <w:pStyle w:val="afc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В этой связи в отношении подобных ситуаций целесообразно руководствоваться пунктом 4 настоящих инструктивно-методических материалов.</w:t>
      </w:r>
    </w:p>
    <w:p w:rsidR="002A1BC6" w:rsidRDefault="004778E5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271463">
        <w:rPr>
          <w:rFonts w:ascii="Times New Roman" w:hAnsi="Times New Roman"/>
          <w:bCs/>
          <w:sz w:val="28"/>
          <w:szCs w:val="28"/>
        </w:rPr>
        <w:t xml:space="preserve">. Федеральным законом от 6 октября 2003 г. № 131-ФЗ "Об общих принципах организации местного самоуправления в Российской Федерации" предусмотрены ситуации, при которых муниципальные депутаты могут занимать иные муниципальные должности (например, главы муниципального образования, депутата представительного органа муниципального района или городского округа </w:t>
      </w:r>
      <w:r w:rsidR="00271463">
        <w:rPr>
          <w:rFonts w:ascii="Times New Roman" w:hAnsi="Times New Roman"/>
          <w:bCs/>
          <w:sz w:val="28"/>
          <w:szCs w:val="28"/>
        </w:rPr>
        <w:br/>
        <w:t>с внутригородским делением).</w:t>
      </w:r>
    </w:p>
    <w:p w:rsidR="002A1BC6" w:rsidRDefault="00271463">
      <w:pPr>
        <w:pStyle w:val="afc"/>
        <w:tabs>
          <w:tab w:val="left" w:pos="709"/>
          <w:tab w:val="left" w:pos="1134"/>
        </w:tabs>
        <w:ind w:left="0"/>
        <w:rPr>
          <w:rFonts w:ascii="Times New Roman" w:eastAsia="Times New Roman" w:hAnsi="Times New Roman"/>
          <w:sz w:val="28"/>
          <w:szCs w:val="2"/>
        </w:rPr>
      </w:pPr>
      <w:r>
        <w:rPr>
          <w:rFonts w:ascii="Times New Roman" w:eastAsia="Times New Roman" w:hAnsi="Times New Roman"/>
          <w:sz w:val="28"/>
          <w:szCs w:val="2"/>
          <w:lang w:eastAsia="ru-RU"/>
        </w:rPr>
        <w:t>Под гражданами, претендующими на замещение муниципальной должности, следует понимать лиц, которые претендуют на замещение соответствующей должности в силу того, что они являются именно гражданами.</w:t>
      </w:r>
    </w:p>
    <w:p w:rsidR="002A1BC6" w:rsidRDefault="00271463">
      <w:pPr>
        <w:tabs>
          <w:tab w:val="left" w:pos="85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"/>
        </w:rPr>
      </w:pPr>
      <w:r>
        <w:rPr>
          <w:rFonts w:ascii="Times New Roman" w:eastAsia="Times New Roman" w:hAnsi="Times New Roman" w:cs="Times New Roman"/>
          <w:sz w:val="28"/>
          <w:szCs w:val="2"/>
          <w:lang w:eastAsia="ru-RU"/>
        </w:rPr>
        <w:t xml:space="preserve">В свою очередь, лица, замещающие муниципальные должности </w:t>
      </w:r>
      <w:r>
        <w:rPr>
          <w:rFonts w:ascii="Times New Roman" w:eastAsia="Times New Roman" w:hAnsi="Times New Roman" w:cs="Times New Roman"/>
          <w:sz w:val="28"/>
          <w:szCs w:val="2"/>
          <w:lang w:eastAsia="ru-RU"/>
        </w:rPr>
        <w:br/>
        <w:t xml:space="preserve">и одновременно назначаемые на иную муниципальную должность в силу уже имеющегося у них статуса таких лиц, имеют другой институциональный статус. </w:t>
      </w:r>
      <w:r>
        <w:rPr>
          <w:rFonts w:ascii="Times New Roman" w:eastAsia="Times New Roman" w:hAnsi="Times New Roman" w:cs="Times New Roman"/>
          <w:sz w:val="28"/>
          <w:szCs w:val="2"/>
          <w:lang w:eastAsia="ru-RU"/>
        </w:rPr>
        <w:br/>
        <w:t xml:space="preserve">В подобных ситуациях у таких лиц не возникает обязанность представлять справки </w:t>
      </w:r>
      <w:r w:rsidR="007156F8">
        <w:rPr>
          <w:rFonts w:ascii="Times New Roman" w:eastAsia="Times New Roman" w:hAnsi="Times New Roman" w:cs="Times New Roman"/>
          <w:sz w:val="28"/>
          <w:szCs w:val="2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"/>
          <w:lang w:eastAsia="ru-RU"/>
        </w:rPr>
        <w:t xml:space="preserve">в качестве граждан, претендующих </w:t>
      </w:r>
      <w:r>
        <w:rPr>
          <w:rFonts w:ascii="Times New Roman" w:eastAsia="Times New Roman" w:hAnsi="Times New Roman"/>
          <w:sz w:val="28"/>
          <w:szCs w:val="2"/>
          <w:lang w:eastAsia="ru-RU"/>
        </w:rPr>
        <w:t>на замещение муниципальной должности</w:t>
      </w:r>
      <w:r>
        <w:rPr>
          <w:rFonts w:ascii="Times New Roman" w:eastAsia="Times New Roman" w:hAnsi="Times New Roman" w:cs="Times New Roman"/>
          <w:sz w:val="28"/>
          <w:szCs w:val="2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  <w:t xml:space="preserve">При этом, например, в случае избрания депутата соответствующего поселения </w:t>
      </w:r>
      <w:r w:rsidR="007156F8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или внутригородского района депутатом муниципального района или городского округа с внутригородским делением, осуществляющим свои полномочия </w:t>
      </w:r>
      <w:r w:rsidR="007156F8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на непостоянной основе, у него возникает обязанность представить справку в течение четырех месяцев со дня избрания депутатом такого района или округа.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Вместе с тем законами субъектов Российской Федерации может быть предусмотрено, что справки также представляются при избрании на иную муниципальную должность (например, главы муниципального образования). 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Следует также учитывать, что в случае, если избрание на муниципальную должность осуществляется из состава соответствующих представительных органов муниципальных образований (то есть из муниципальных депутатов), то лицо признается замещающим две муниципальные должности и, как следствие, </w:t>
      </w:r>
      <w:r>
        <w:rPr>
          <w:rFonts w:ascii="Times New Roman" w:hAnsi="Times New Roman"/>
          <w:bCs/>
          <w:sz w:val="28"/>
          <w:szCs w:val="28"/>
        </w:rPr>
        <w:br/>
        <w:t>при замещении должности, предусматривающей представление справки, у него возникает обязанность по представлению справки (сообщения) в декларационную кампанию.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Однако необходимо обратить внимание, что справки не представляются </w:t>
      </w:r>
      <w:r>
        <w:rPr>
          <w:rFonts w:ascii="Times New Roman" w:hAnsi="Times New Roman"/>
          <w:bCs/>
          <w:sz w:val="28"/>
          <w:szCs w:val="28"/>
        </w:rPr>
        <w:br/>
        <w:t xml:space="preserve">до избрания на должность всеми возможными кандидатами (претендентами), поскольку для целей указанных правоотношений соответствующие лица </w:t>
      </w:r>
      <w:r>
        <w:rPr>
          <w:rFonts w:ascii="Times New Roman" w:hAnsi="Times New Roman"/>
          <w:bCs/>
          <w:sz w:val="28"/>
          <w:szCs w:val="28"/>
        </w:rPr>
        <w:br/>
        <w:t>не наделены подобным статусом.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 этом данные положения не распространяются на ситуации, при которых </w:t>
      </w:r>
      <w:r>
        <w:rPr>
          <w:rFonts w:ascii="Times New Roman" w:hAnsi="Times New Roman"/>
          <w:bCs/>
          <w:sz w:val="28"/>
          <w:szCs w:val="28"/>
        </w:rPr>
        <w:br/>
        <w:t xml:space="preserve">в муниципальных образованиях самостоятельными муниципальными должностями признаются председатели представительных органов муниципальных образований (если они не являются главами муниципальных образований), их заместители </w:t>
      </w:r>
      <w:r>
        <w:rPr>
          <w:rFonts w:ascii="Times New Roman" w:hAnsi="Times New Roman"/>
          <w:bCs/>
          <w:sz w:val="28"/>
          <w:szCs w:val="28"/>
        </w:rPr>
        <w:br/>
        <w:t>или должности председателей комиссий (комитетов) представительных органов муниципальных образований, их заместители.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указанных ситуациях должность муниципального депутата является первичной. В этой связи такими лицами представляются справки или сообщения только в связи с замещением ими должности муниципального депутата с учетом изменений, предусмотренных Федеральным законом № 12-ФЗ.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Аналогично в отношении региональных депутатов.</w:t>
      </w:r>
    </w:p>
    <w:p w:rsidR="002A1BC6" w:rsidRDefault="008234BD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271463">
        <w:rPr>
          <w:rFonts w:ascii="Times New Roman" w:hAnsi="Times New Roman"/>
          <w:bCs/>
          <w:sz w:val="28"/>
          <w:szCs w:val="28"/>
        </w:rPr>
        <w:t>. Учитывая, что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2023 году (за отчетный 2022 год) подготовлены в декабре 2022 года, то есть до принятия Федерального закона № 12-ФЗ, то применять положения Методических рекомендаций необходимо с учетом положений настоящих инструктивно-методических материалов.</w:t>
      </w:r>
    </w:p>
    <w:p w:rsidR="002A1BC6" w:rsidRDefault="002A1BC6">
      <w:pPr>
        <w:pStyle w:val="afc"/>
        <w:ind w:left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/>
        <w:rPr>
          <w:rFonts w:ascii="Times New Roman" w:hAnsi="Times New Roman"/>
          <w:sz w:val="28"/>
          <w:szCs w:val="28"/>
          <w:highlight w:val="yellow"/>
        </w:rPr>
      </w:pPr>
    </w:p>
    <w:p w:rsidR="002A1BC6" w:rsidRDefault="002A1BC6">
      <w:pPr>
        <w:pStyle w:val="afc"/>
        <w:ind w:left="0"/>
        <w:rPr>
          <w:rFonts w:ascii="Times New Roman" w:hAnsi="Times New Roman"/>
          <w:bCs/>
          <w:sz w:val="28"/>
          <w:szCs w:val="28"/>
          <w:highlight w:val="yellow"/>
        </w:rPr>
      </w:pPr>
    </w:p>
    <w:p w:rsidR="002A1BC6" w:rsidRDefault="002A1BC6">
      <w:pPr>
        <w:pStyle w:val="afc"/>
        <w:ind w:left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2A1BC6">
          <w:headerReference w:type="default" r:id="rId10"/>
          <w:type w:val="oddPage"/>
          <w:pgSz w:w="11906" w:h="16838"/>
          <w:pgMar w:top="1134" w:right="567" w:bottom="1134" w:left="1134" w:header="454" w:footer="680" w:gutter="0"/>
          <w:pgNumType w:start="1"/>
          <w:cols w:space="708"/>
          <w:titlePg/>
          <w:docGrid w:linePitch="360"/>
        </w:sectPr>
      </w:pPr>
    </w:p>
    <w:p w:rsidR="002A1BC6" w:rsidRDefault="00271463">
      <w:pPr>
        <w:pStyle w:val="afc"/>
        <w:ind w:left="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A1BC6" w:rsidRDefault="002A1BC6">
      <w:pPr>
        <w:pStyle w:val="afc"/>
        <w:ind w:left="0" w:firstLine="0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f6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1"/>
      </w:tblGrid>
      <w:tr w:rsidR="002A1BC6">
        <w:tc>
          <w:tcPr>
            <w:tcW w:w="4751" w:type="dxa"/>
            <w:tcBorders>
              <w:bottom w:val="single" w:sz="4" w:space="0" w:color="auto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A1BC6">
        <w:tc>
          <w:tcPr>
            <w:tcW w:w="4751" w:type="dxa"/>
            <w:tcBorders>
              <w:top w:val="single" w:sz="4" w:space="0" w:color="auto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"/>
                <w:szCs w:val="2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(наименование комиссии законодательного органа субъекта 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br/>
            </w:r>
          </w:p>
        </w:tc>
      </w:tr>
      <w:tr w:rsidR="002A1BC6">
        <w:tc>
          <w:tcPr>
            <w:tcW w:w="4751" w:type="dxa"/>
            <w:tcBorders>
              <w:bottom w:val="single" w:sz="4" w:space="0" w:color="auto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2A1BC6">
        <w:tc>
          <w:tcPr>
            <w:tcW w:w="4751" w:type="dxa"/>
            <w:tcBorders>
              <w:top w:val="single" w:sz="4" w:space="0" w:color="auto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"/>
                <w:szCs w:val="2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Российской Федерации по контролю за достоверностью сведений 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br/>
            </w:r>
          </w:p>
        </w:tc>
      </w:tr>
      <w:tr w:rsidR="002A1BC6">
        <w:tc>
          <w:tcPr>
            <w:tcW w:w="4751" w:type="dxa"/>
            <w:tcBorders>
              <w:bottom w:val="single" w:sz="4" w:space="0" w:color="auto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2A1BC6">
        <w:tc>
          <w:tcPr>
            <w:tcW w:w="4751" w:type="dxa"/>
            <w:tcBorders>
              <w:top w:val="single" w:sz="4" w:space="0" w:color="auto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"/>
                <w:szCs w:val="2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о доходах, об имуществе и обязательствах имущественного 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br/>
            </w:r>
          </w:p>
        </w:tc>
      </w:tr>
      <w:tr w:rsidR="002A1BC6">
        <w:tc>
          <w:tcPr>
            <w:tcW w:w="4751" w:type="dxa"/>
            <w:tcBorders>
              <w:bottom w:val="single" w:sz="4" w:space="0" w:color="auto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2A1BC6">
        <w:tc>
          <w:tcPr>
            <w:tcW w:w="4751" w:type="dxa"/>
            <w:tcBorders>
              <w:top w:val="single" w:sz="4" w:space="0" w:color="auto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"/>
                <w:szCs w:val="2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характера, представляемых депутатами законодательного органа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br/>
            </w:r>
          </w:p>
        </w:tc>
      </w:tr>
      <w:tr w:rsidR="002A1BC6">
        <w:tc>
          <w:tcPr>
            <w:tcW w:w="4751" w:type="dxa"/>
            <w:tcBorders>
              <w:bottom w:val="single" w:sz="4" w:space="0" w:color="auto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2A1BC6">
        <w:tc>
          <w:tcPr>
            <w:tcW w:w="4751" w:type="dxa"/>
            <w:tcBorders>
              <w:top w:val="single" w:sz="4" w:space="0" w:color="auto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"/>
                <w:szCs w:val="2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субъекта Российской Федерации или должность и фамилия, имя, 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br/>
            </w:r>
          </w:p>
        </w:tc>
      </w:tr>
      <w:tr w:rsidR="002A1BC6">
        <w:tc>
          <w:tcPr>
            <w:tcW w:w="4751" w:type="dxa"/>
            <w:tcBorders>
              <w:bottom w:val="single" w:sz="4" w:space="0" w:color="auto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2A1BC6">
        <w:tc>
          <w:tcPr>
            <w:tcW w:w="4751" w:type="dxa"/>
            <w:tcBorders>
              <w:top w:val="single" w:sz="4" w:space="0" w:color="auto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"/>
                <w:szCs w:val="2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отчество (при наличии) высшего должностного лица субъекта 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br/>
            </w:r>
          </w:p>
        </w:tc>
      </w:tr>
      <w:tr w:rsidR="002A1BC6">
        <w:tc>
          <w:tcPr>
            <w:tcW w:w="4751" w:type="dxa"/>
            <w:tcBorders>
              <w:bottom w:val="single" w:sz="4" w:space="0" w:color="auto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2A1BC6">
        <w:tc>
          <w:tcPr>
            <w:tcW w:w="4751" w:type="dxa"/>
            <w:tcBorders>
              <w:top w:val="single" w:sz="4" w:space="0" w:color="auto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Российской Федерации)</w:t>
            </w:r>
          </w:p>
        </w:tc>
      </w:tr>
    </w:tbl>
    <w:p w:rsidR="002A1BC6" w:rsidRDefault="002A1BC6">
      <w:pPr>
        <w:pStyle w:val="afc"/>
        <w:ind w:left="5670" w:firstLine="0"/>
        <w:rPr>
          <w:rFonts w:ascii="Times New Roman" w:hAnsi="Times New Roman"/>
          <w:bCs/>
          <w:sz w:val="28"/>
          <w:szCs w:val="28"/>
        </w:rPr>
      </w:pPr>
    </w:p>
    <w:p w:rsidR="002A1BC6" w:rsidRDefault="002A1BC6">
      <w:pPr>
        <w:pStyle w:val="afc"/>
        <w:ind w:left="5670" w:firstLine="0"/>
        <w:rPr>
          <w:rFonts w:ascii="Times New Roman" w:hAnsi="Times New Roman"/>
          <w:bCs/>
          <w:sz w:val="28"/>
          <w:szCs w:val="28"/>
        </w:rPr>
      </w:pPr>
    </w:p>
    <w:p w:rsidR="002A1BC6" w:rsidRDefault="00271463">
      <w:pPr>
        <w:pStyle w:val="afc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Сообщение </w:t>
      </w:r>
      <w:r>
        <w:rPr>
          <w:rFonts w:ascii="Times New Roman" w:hAnsi="Times New Roman"/>
          <w:bCs/>
          <w:sz w:val="28"/>
          <w:szCs w:val="28"/>
        </w:rPr>
        <w:br/>
        <w:t xml:space="preserve">о несовершении в отчетном периоде сделок, предусмотренных частью 1 статьи 3 Федерального закона от 3 декабря 2012 г. №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депутата и его супруги (супруга) </w:t>
      </w:r>
      <w:r>
        <w:rPr>
          <w:rFonts w:ascii="Times New Roman" w:hAnsi="Times New Roman"/>
          <w:bCs/>
          <w:sz w:val="28"/>
          <w:szCs w:val="28"/>
        </w:rPr>
        <w:br/>
        <w:t>за три последних года, предшествующих отчетному периоду</w:t>
      </w:r>
    </w:p>
    <w:p w:rsidR="002A1BC6" w:rsidRDefault="002A1BC6">
      <w:pPr>
        <w:pStyle w:val="afc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"/>
        <w:gridCol w:w="811"/>
        <w:gridCol w:w="87"/>
        <w:gridCol w:w="481"/>
        <w:gridCol w:w="795"/>
        <w:gridCol w:w="187"/>
        <w:gridCol w:w="2213"/>
        <w:gridCol w:w="5361"/>
      </w:tblGrid>
      <w:tr w:rsidR="002A1BC6">
        <w:tc>
          <w:tcPr>
            <w:tcW w:w="486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Я,</w:t>
            </w:r>
          </w:p>
        </w:tc>
        <w:tc>
          <w:tcPr>
            <w:tcW w:w="9935" w:type="dxa"/>
            <w:gridSpan w:val="7"/>
            <w:tcBorders>
              <w:left w:val="none" w:sz="4" w:space="0" w:color="000000"/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rPr>
          <w:trHeight w:val="96"/>
        </w:trPr>
        <w:tc>
          <w:tcPr>
            <w:tcW w:w="486" w:type="dxa"/>
            <w:shd w:val="clear" w:color="auto" w:fill="auto"/>
          </w:tcPr>
          <w:p w:rsidR="002A1BC6" w:rsidRDefault="002A1BC6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9935" w:type="dxa"/>
            <w:gridSpan w:val="7"/>
            <w:tcBorders>
              <w:top w:val="single" w:sz="4" w:space="0" w:color="auto"/>
              <w:left w:val="none" w:sz="4" w:space="0" w:color="000000"/>
            </w:tcBorders>
            <w:shd w:val="clear" w:color="auto" w:fill="auto"/>
          </w:tcPr>
          <w:p w:rsidR="002A1BC6" w:rsidRDefault="00271463">
            <w:pPr>
              <w:pStyle w:val="afc"/>
              <w:ind w:left="223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2A1BC6">
        <w:tc>
          <w:tcPr>
            <w:tcW w:w="10421" w:type="dxa"/>
            <w:gridSpan w:val="8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"____" ______________ ______ г.р.</w:t>
            </w:r>
          </w:p>
        </w:tc>
      </w:tr>
      <w:tr w:rsidR="002A1BC6">
        <w:tc>
          <w:tcPr>
            <w:tcW w:w="5060" w:type="dxa"/>
            <w:gridSpan w:val="7"/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2A1BC6">
        <w:tc>
          <w:tcPr>
            <w:tcW w:w="1297" w:type="dxa"/>
            <w:gridSpan w:val="2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Паспорт:</w:t>
            </w:r>
          </w:p>
        </w:tc>
        <w:tc>
          <w:tcPr>
            <w:tcW w:w="3763" w:type="dxa"/>
            <w:gridSpan w:val="5"/>
            <w:tcBorders>
              <w:left w:val="none" w:sz="4" w:space="0" w:color="000000"/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1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выдан: "____" ______________ ______ г.</w:t>
            </w:r>
          </w:p>
        </w:tc>
      </w:tr>
      <w:tr w:rsidR="002A1BC6">
        <w:trPr>
          <w:trHeight w:val="96"/>
        </w:trPr>
        <w:tc>
          <w:tcPr>
            <w:tcW w:w="1297" w:type="dxa"/>
            <w:gridSpan w:val="2"/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one" w:sz="4" w:space="0" w:color="000000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(серия, номер) </w:t>
            </w:r>
          </w:p>
        </w:tc>
        <w:tc>
          <w:tcPr>
            <w:tcW w:w="5361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(дата выдачи)</w:t>
            </w:r>
          </w:p>
        </w:tc>
      </w:tr>
      <w:tr w:rsidR="002A1BC6">
        <w:tc>
          <w:tcPr>
            <w:tcW w:w="1042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(кем выдан)</w:t>
            </w:r>
          </w:p>
        </w:tc>
      </w:tr>
      <w:tr w:rsidR="002A1BC6">
        <w:tc>
          <w:tcPr>
            <w:tcW w:w="1384" w:type="dxa"/>
            <w:gridSpan w:val="3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СНИЛС:</w:t>
            </w:r>
          </w:p>
        </w:tc>
        <w:tc>
          <w:tcPr>
            <w:tcW w:w="90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2847" w:type="dxa"/>
            <w:gridSpan w:val="6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регистрации:</w:t>
            </w:r>
          </w:p>
        </w:tc>
        <w:tc>
          <w:tcPr>
            <w:tcW w:w="75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266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проживания:</w:t>
            </w:r>
          </w:p>
        </w:tc>
        <w:tc>
          <w:tcPr>
            <w:tcW w:w="77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8"/>
            <w:shd w:val="clear" w:color="auto" w:fill="auto"/>
          </w:tcPr>
          <w:p w:rsidR="002A1BC6" w:rsidRDefault="00271463">
            <w:pPr>
              <w:pStyle w:val="afc"/>
              <w:ind w:left="2552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(заполняется в случае несовпадения адреса регистрации с фактическим местом жительства)</w:t>
            </w:r>
          </w:p>
        </w:tc>
      </w:tr>
      <w:tr w:rsidR="002A1BC6">
        <w:tc>
          <w:tcPr>
            <w:tcW w:w="10421" w:type="dxa"/>
            <w:gridSpan w:val="8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1BC6" w:rsidRDefault="002A1BC6">
      <w:pPr>
        <w:pStyle w:val="afc"/>
        <w:ind w:left="0"/>
      </w:pPr>
    </w:p>
    <w:p w:rsidR="002A1BC6" w:rsidRDefault="002A1BC6">
      <w:pPr>
        <w:pStyle w:val="afc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4503"/>
        <w:gridCol w:w="5953"/>
      </w:tblGrid>
      <w:tr w:rsidR="002A1BC6">
        <w:tc>
          <w:tcPr>
            <w:tcW w:w="4503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замещающий должность депутата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10456" w:type="dxa"/>
            <w:gridSpan w:val="2"/>
            <w:shd w:val="clear" w:color="auto" w:fill="auto"/>
          </w:tcPr>
          <w:p w:rsidR="002A1BC6" w:rsidRDefault="002A1BC6">
            <w:pPr>
              <w:pStyle w:val="afc"/>
              <w:ind w:left="4395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2A1BC6">
        <w:tc>
          <w:tcPr>
            <w:tcW w:w="1045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1BC6" w:rsidRDefault="00271463">
      <w:pPr>
        <w:pStyle w:val="afc"/>
        <w:ind w:left="0" w:firstLine="0"/>
        <w:jc w:val="center"/>
      </w:pPr>
      <w:r>
        <w:rPr>
          <w:rFonts w:ascii="Times New Roman" w:hAnsi="Times New Roman"/>
          <w:sz w:val="28"/>
          <w:szCs w:val="28"/>
          <w:vertAlign w:val="superscript"/>
        </w:rPr>
        <w:t xml:space="preserve">(наименование законодательного органа субъекта Российской Федерации / </w:t>
      </w:r>
      <w:r>
        <w:rPr>
          <w:rFonts w:ascii="Times New Roman" w:hAnsi="Times New Roman"/>
          <w:sz w:val="28"/>
          <w:szCs w:val="28"/>
          <w:vertAlign w:val="superscript"/>
        </w:rPr>
        <w:br/>
        <w:t>представительного органа муниципального образования)</w:t>
      </w:r>
    </w:p>
    <w:p w:rsidR="002A1BC6" w:rsidRDefault="00271463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и осуществляющий свои полномочия без отрыва от основной деятельности / </w:t>
      </w:r>
      <w:r>
        <w:rPr>
          <w:rFonts w:ascii="Times New Roman" w:hAnsi="Times New Roman"/>
          <w:bCs/>
          <w:sz w:val="28"/>
          <w:szCs w:val="28"/>
        </w:rPr>
        <w:br/>
        <w:t xml:space="preserve">на непостоянной основе, сообщаю, что в течение отчетного периода </w:t>
      </w:r>
      <w:r>
        <w:rPr>
          <w:rFonts w:ascii="Times New Roman" w:hAnsi="Times New Roman"/>
          <w:bCs/>
          <w:sz w:val="28"/>
          <w:szCs w:val="28"/>
        </w:rPr>
        <w:br/>
        <w:t>с 1 января 20__ года по 31 декабря 20__ года мной, моей супругой / моим супругом (нужное подчеркнуть)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2A1BC6">
        <w:tc>
          <w:tcPr>
            <w:tcW w:w="104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rPr>
          <w:trHeight w:val="96"/>
        </w:trPr>
        <w:tc>
          <w:tcPr>
            <w:tcW w:w="1042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2A1BC6">
        <w:tc>
          <w:tcPr>
            <w:tcW w:w="10421" w:type="dxa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"____" ______________ ______ г.р.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1297"/>
        <w:gridCol w:w="87"/>
        <w:gridCol w:w="481"/>
        <w:gridCol w:w="795"/>
        <w:gridCol w:w="187"/>
        <w:gridCol w:w="2213"/>
        <w:gridCol w:w="5361"/>
      </w:tblGrid>
      <w:tr w:rsidR="002A1BC6">
        <w:tc>
          <w:tcPr>
            <w:tcW w:w="1297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Паспорт:</w:t>
            </w:r>
          </w:p>
        </w:tc>
        <w:tc>
          <w:tcPr>
            <w:tcW w:w="3763" w:type="dxa"/>
            <w:gridSpan w:val="5"/>
            <w:tcBorders>
              <w:left w:val="none" w:sz="4" w:space="0" w:color="000000"/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1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выдан: "____" ______________ ______ г.</w:t>
            </w:r>
          </w:p>
        </w:tc>
      </w:tr>
      <w:tr w:rsidR="002A1BC6">
        <w:trPr>
          <w:trHeight w:val="96"/>
        </w:trPr>
        <w:tc>
          <w:tcPr>
            <w:tcW w:w="1297" w:type="dxa"/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one" w:sz="4" w:space="0" w:color="000000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(серия, номер) </w:t>
            </w:r>
          </w:p>
        </w:tc>
        <w:tc>
          <w:tcPr>
            <w:tcW w:w="5361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(дата выдачи)</w:t>
            </w:r>
          </w:p>
        </w:tc>
      </w:tr>
      <w:tr w:rsidR="002A1BC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(кем выдан)</w:t>
            </w:r>
          </w:p>
        </w:tc>
      </w:tr>
      <w:tr w:rsidR="002A1BC6">
        <w:tc>
          <w:tcPr>
            <w:tcW w:w="1384" w:type="dxa"/>
            <w:gridSpan w:val="2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СНИЛС:</w:t>
            </w:r>
          </w:p>
        </w:tc>
        <w:tc>
          <w:tcPr>
            <w:tcW w:w="90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2847" w:type="dxa"/>
            <w:gridSpan w:val="5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регистрации:</w:t>
            </w:r>
          </w:p>
        </w:tc>
        <w:tc>
          <w:tcPr>
            <w:tcW w:w="75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266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проживания:</w:t>
            </w:r>
          </w:p>
        </w:tc>
        <w:tc>
          <w:tcPr>
            <w:tcW w:w="77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7"/>
            <w:shd w:val="clear" w:color="auto" w:fill="auto"/>
          </w:tcPr>
          <w:p w:rsidR="002A1BC6" w:rsidRDefault="00271463">
            <w:pPr>
              <w:pStyle w:val="afc"/>
              <w:ind w:left="2552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(заполняется в случае несовпадения адреса регистрации с фактическим местом жительства)</w:t>
            </w:r>
          </w:p>
        </w:tc>
      </w:tr>
      <w:tr w:rsidR="002A1BC6">
        <w:tc>
          <w:tcPr>
            <w:tcW w:w="10421" w:type="dxa"/>
            <w:gridSpan w:val="7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1BC6" w:rsidRDefault="002A1BC6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2516"/>
      </w:tblGrid>
      <w:tr w:rsidR="002A1BC6">
        <w:tc>
          <w:tcPr>
            <w:tcW w:w="790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Место работы (службы) / род занятий (нужное подчеркнуть):</w:t>
            </w:r>
          </w:p>
        </w:tc>
        <w:tc>
          <w:tcPr>
            <w:tcW w:w="25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2A1BC6" w:rsidRDefault="00271463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 также моим несовершеннолетним ребенком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2A1BC6">
        <w:tc>
          <w:tcPr>
            <w:tcW w:w="104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rPr>
          <w:trHeight w:val="96"/>
        </w:trPr>
        <w:tc>
          <w:tcPr>
            <w:tcW w:w="1042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2A1BC6">
        <w:tc>
          <w:tcPr>
            <w:tcW w:w="10421" w:type="dxa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"____" ______________ ______ г.р.</w:t>
            </w:r>
          </w:p>
        </w:tc>
      </w:tr>
    </w:tbl>
    <w:tbl>
      <w:tblPr>
        <w:tblW w:w="10421" w:type="dxa"/>
        <w:tblLook w:val="04A0" w:firstRow="1" w:lastRow="0" w:firstColumn="1" w:lastColumn="0" w:noHBand="0" w:noVBand="1"/>
      </w:tblPr>
      <w:tblGrid>
        <w:gridCol w:w="2925"/>
        <w:gridCol w:w="2003"/>
        <w:gridCol w:w="283"/>
        <w:gridCol w:w="5210"/>
      </w:tblGrid>
      <w:tr w:rsidR="002A1BC6">
        <w:tc>
          <w:tcPr>
            <w:tcW w:w="10421" w:type="dxa"/>
            <w:gridSpan w:val="4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Паспорт / свидетельство о рождении </w:t>
            </w:r>
          </w:p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(для несовершеннолетнего ребенка, не имеющего паспорта):</w:t>
            </w:r>
          </w:p>
        </w:tc>
      </w:tr>
      <w:tr w:rsidR="002A1BC6">
        <w:trPr>
          <w:trHeight w:val="96"/>
        </w:trPr>
        <w:tc>
          <w:tcPr>
            <w:tcW w:w="10421" w:type="dxa"/>
            <w:gridSpan w:val="4"/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</w:p>
        </w:tc>
      </w:tr>
      <w:tr w:rsidR="002A1BC6">
        <w:tc>
          <w:tcPr>
            <w:tcW w:w="49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10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выдан: "____" ______________ ______ г.</w:t>
            </w:r>
          </w:p>
        </w:tc>
      </w:tr>
      <w:tr w:rsidR="002A1BC6">
        <w:tc>
          <w:tcPr>
            <w:tcW w:w="49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(серия, номер)</w:t>
            </w:r>
          </w:p>
        </w:tc>
        <w:tc>
          <w:tcPr>
            <w:tcW w:w="283" w:type="dxa"/>
            <w:shd w:val="clear" w:color="auto" w:fill="auto"/>
          </w:tcPr>
          <w:p w:rsidR="002A1BC6" w:rsidRDefault="002A1BC6">
            <w:pPr>
              <w:pStyle w:val="afc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5210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(дата выдачи)</w:t>
            </w:r>
          </w:p>
        </w:tc>
      </w:tr>
      <w:tr w:rsidR="002A1BC6">
        <w:tc>
          <w:tcPr>
            <w:tcW w:w="104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</w:p>
        </w:tc>
      </w:tr>
      <w:tr w:rsidR="002A1BC6">
        <w:tc>
          <w:tcPr>
            <w:tcW w:w="1042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(кем выдан)</w:t>
            </w:r>
          </w:p>
        </w:tc>
      </w:tr>
      <w:tr w:rsidR="002A1BC6">
        <w:tc>
          <w:tcPr>
            <w:tcW w:w="2925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СНИЛС:</w:t>
            </w:r>
          </w:p>
        </w:tc>
        <w:tc>
          <w:tcPr>
            <w:tcW w:w="74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2925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Место регистрации:</w:t>
            </w:r>
          </w:p>
        </w:tc>
        <w:tc>
          <w:tcPr>
            <w:tcW w:w="74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2925" w:type="dxa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Место проживания: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4"/>
            <w:shd w:val="clear" w:color="auto" w:fill="auto"/>
          </w:tcPr>
          <w:p w:rsidR="002A1BC6" w:rsidRDefault="00271463">
            <w:pPr>
              <w:pStyle w:val="afc"/>
              <w:ind w:left="2552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(заполняется в случае несовпадения адреса регистрации с фактическим местом жительства)</w:t>
            </w:r>
          </w:p>
        </w:tc>
      </w:tr>
      <w:tr w:rsidR="002A1BC6">
        <w:tc>
          <w:tcPr>
            <w:tcW w:w="10421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2A1BC6" w:rsidRDefault="002A1BC6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2516"/>
      </w:tblGrid>
      <w:tr w:rsidR="002A1BC6">
        <w:tc>
          <w:tcPr>
            <w:tcW w:w="790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Место работы / род занятий (нужное подчеркнуть):</w:t>
            </w:r>
          </w:p>
        </w:tc>
        <w:tc>
          <w:tcPr>
            <w:tcW w:w="25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2A1BC6" w:rsidRDefault="002A1BC6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</w:p>
    <w:p w:rsidR="002A1BC6" w:rsidRDefault="00271463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сделки, предусмотренные частью 1 статьи 3 Федерального закона от 3 декабря </w:t>
      </w:r>
      <w:r>
        <w:rPr>
          <w:rFonts w:ascii="Times New Roman" w:hAnsi="Times New Roman"/>
          <w:bCs/>
          <w:sz w:val="28"/>
          <w:szCs w:val="28"/>
        </w:rPr>
        <w:br/>
        <w:t>2012 г. №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мой и моей супруги (моего супруга) за три последних года, предшествующих отчетному периоду, не совершались.</w:t>
      </w:r>
    </w:p>
    <w:p w:rsidR="002A1BC6" w:rsidRDefault="002A1BC6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</w:p>
    <w:p w:rsidR="002A1BC6" w:rsidRDefault="00271463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Достоверность и полноту настоящих сведений подтверждаю.</w:t>
      </w:r>
    </w:p>
    <w:p w:rsidR="002A1BC6" w:rsidRDefault="002A1BC6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</w:p>
    <w:p w:rsidR="002A1BC6" w:rsidRDefault="002A1B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83"/>
        <w:gridCol w:w="2552"/>
        <w:gridCol w:w="425"/>
        <w:gridCol w:w="2658"/>
      </w:tblGrid>
      <w:tr w:rsidR="002A1BC6">
        <w:tc>
          <w:tcPr>
            <w:tcW w:w="4503" w:type="dxa"/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"____" ______________ ______ г.</w:t>
            </w:r>
          </w:p>
        </w:tc>
        <w:tc>
          <w:tcPr>
            <w:tcW w:w="283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A1BC6">
        <w:tc>
          <w:tcPr>
            <w:tcW w:w="4503" w:type="dxa"/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283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(подпись лица, представляющего сообщение)</w:t>
            </w:r>
          </w:p>
        </w:tc>
        <w:tc>
          <w:tcPr>
            <w:tcW w:w="425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</w:tbl>
    <w:p w:rsidR="002A1BC6" w:rsidRDefault="002A1BC6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</w:p>
    <w:p w:rsidR="002A1BC6" w:rsidRDefault="002A1B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83"/>
        <w:gridCol w:w="2552"/>
        <w:gridCol w:w="425"/>
        <w:gridCol w:w="2658"/>
      </w:tblGrid>
      <w:tr w:rsidR="002A1BC6">
        <w:tc>
          <w:tcPr>
            <w:tcW w:w="4503" w:type="dxa"/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"____" ______________ ______ г.</w:t>
            </w:r>
          </w:p>
        </w:tc>
        <w:tc>
          <w:tcPr>
            <w:tcW w:w="283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A1BC6">
        <w:tc>
          <w:tcPr>
            <w:tcW w:w="4503" w:type="dxa"/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283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(подпись лица,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br/>
              <w:t>принявшего сообщение)</w:t>
            </w:r>
          </w:p>
        </w:tc>
        <w:tc>
          <w:tcPr>
            <w:tcW w:w="425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(расшифровка подписи, должность)</w:t>
            </w:r>
          </w:p>
        </w:tc>
      </w:tr>
    </w:tbl>
    <w:p w:rsidR="002A1BC6" w:rsidRDefault="002A1BC6">
      <w:pPr>
        <w:pStyle w:val="afc"/>
        <w:ind w:left="0" w:firstLine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 w:firstLine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 w:firstLine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/>
        <w:rPr>
          <w:rFonts w:ascii="Times New Roman" w:hAnsi="Times New Roman"/>
          <w:highlight w:val="yellow"/>
        </w:rPr>
      </w:pPr>
    </w:p>
    <w:p w:rsidR="002A1BC6" w:rsidRDefault="002A1BC6">
      <w:pPr>
        <w:pStyle w:val="afc"/>
        <w:ind w:left="0"/>
        <w:rPr>
          <w:rFonts w:ascii="Times New Roman" w:hAnsi="Times New Roman"/>
          <w:highlight w:val="yellow"/>
        </w:rPr>
      </w:pPr>
    </w:p>
    <w:p w:rsidR="002A1BC6" w:rsidRDefault="002A1BC6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</w:p>
    <w:sectPr w:rsidR="002A1BC6">
      <w:headerReference w:type="default" r:id="rId11"/>
      <w:pgSz w:w="11906" w:h="16838"/>
      <w:pgMar w:top="1134" w:right="567" w:bottom="1134" w:left="1134" w:header="454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086" w:rsidRDefault="00BE6086">
      <w:pPr>
        <w:spacing w:after="0" w:line="240" w:lineRule="auto"/>
      </w:pPr>
      <w:r>
        <w:separator/>
      </w:r>
    </w:p>
  </w:endnote>
  <w:endnote w:type="continuationSeparator" w:id="0">
    <w:p w:rsidR="00BE6086" w:rsidRDefault="00BE6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086" w:rsidRDefault="00BE6086">
      <w:pPr>
        <w:spacing w:after="0" w:line="240" w:lineRule="auto"/>
      </w:pPr>
      <w:r>
        <w:separator/>
      </w:r>
    </w:p>
  </w:footnote>
  <w:footnote w:type="continuationSeparator" w:id="0">
    <w:p w:rsidR="00BE6086" w:rsidRDefault="00BE6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4097699"/>
      <w:docPartObj>
        <w:docPartGallery w:val="Page Numbers (Top of Page)"/>
        <w:docPartUnique/>
      </w:docPartObj>
    </w:sdtPr>
    <w:sdtEndPr/>
    <w:sdtContent>
      <w:p w:rsidR="002A1BC6" w:rsidRDefault="00271463">
        <w:pPr>
          <w:pStyle w:val="af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17239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0179384"/>
      <w:docPartObj>
        <w:docPartGallery w:val="Page Numbers (Top of Page)"/>
        <w:docPartUnique/>
      </w:docPartObj>
    </w:sdtPr>
    <w:sdtEndPr/>
    <w:sdtContent>
      <w:p w:rsidR="002A1BC6" w:rsidRDefault="00271463">
        <w:pPr>
          <w:pStyle w:val="af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17239">
          <w:rPr>
            <w:rFonts w:ascii="Times New Roman" w:hAnsi="Times New Roman" w:cs="Times New Roman"/>
            <w:noProof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F6AFC"/>
    <w:multiLevelType w:val="hybridMultilevel"/>
    <w:tmpl w:val="1E2CC392"/>
    <w:lvl w:ilvl="0" w:tplc="49C6BD9E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068CA4DC">
      <w:start w:val="1"/>
      <w:numFmt w:val="decimal"/>
      <w:lvlText w:val="%2)"/>
      <w:lvlJc w:val="left"/>
      <w:pPr>
        <w:ind w:left="2858" w:hanging="360"/>
      </w:pPr>
    </w:lvl>
    <w:lvl w:ilvl="2" w:tplc="2EB2CD8C">
      <w:start w:val="1"/>
      <w:numFmt w:val="lowerRoman"/>
      <w:lvlText w:val="%3."/>
      <w:lvlJc w:val="right"/>
      <w:pPr>
        <w:ind w:left="3578" w:hanging="180"/>
      </w:pPr>
    </w:lvl>
    <w:lvl w:ilvl="3" w:tplc="208610DC">
      <w:start w:val="1"/>
      <w:numFmt w:val="decimal"/>
      <w:lvlText w:val="%4."/>
      <w:lvlJc w:val="left"/>
      <w:pPr>
        <w:ind w:left="4298" w:hanging="360"/>
      </w:pPr>
    </w:lvl>
    <w:lvl w:ilvl="4" w:tplc="28521DC4">
      <w:start w:val="1"/>
      <w:numFmt w:val="lowerLetter"/>
      <w:lvlText w:val="%5."/>
      <w:lvlJc w:val="left"/>
      <w:pPr>
        <w:ind w:left="5018" w:hanging="360"/>
      </w:pPr>
    </w:lvl>
    <w:lvl w:ilvl="5" w:tplc="5E22D580">
      <w:start w:val="1"/>
      <w:numFmt w:val="lowerRoman"/>
      <w:lvlText w:val="%6."/>
      <w:lvlJc w:val="right"/>
      <w:pPr>
        <w:ind w:left="5738" w:hanging="180"/>
      </w:pPr>
    </w:lvl>
    <w:lvl w:ilvl="6" w:tplc="16003CF4">
      <w:start w:val="1"/>
      <w:numFmt w:val="decimal"/>
      <w:lvlText w:val="%7."/>
      <w:lvlJc w:val="left"/>
      <w:pPr>
        <w:ind w:left="6458" w:hanging="360"/>
      </w:pPr>
    </w:lvl>
    <w:lvl w:ilvl="7" w:tplc="DB4CB304">
      <w:start w:val="1"/>
      <w:numFmt w:val="lowerLetter"/>
      <w:lvlText w:val="%8."/>
      <w:lvlJc w:val="left"/>
      <w:pPr>
        <w:ind w:left="7178" w:hanging="360"/>
      </w:pPr>
    </w:lvl>
    <w:lvl w:ilvl="8" w:tplc="57ACC0EA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2FFE5A11"/>
    <w:multiLevelType w:val="hybridMultilevel"/>
    <w:tmpl w:val="0DE45FE8"/>
    <w:lvl w:ilvl="0" w:tplc="A2EE1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C003CF0">
      <w:start w:val="1"/>
      <w:numFmt w:val="lowerLetter"/>
      <w:lvlText w:val="%2."/>
      <w:lvlJc w:val="left"/>
      <w:pPr>
        <w:ind w:left="1789" w:hanging="360"/>
      </w:pPr>
    </w:lvl>
    <w:lvl w:ilvl="2" w:tplc="2480B596">
      <w:start w:val="1"/>
      <w:numFmt w:val="lowerRoman"/>
      <w:lvlText w:val="%3."/>
      <w:lvlJc w:val="right"/>
      <w:pPr>
        <w:ind w:left="2509" w:hanging="180"/>
      </w:pPr>
    </w:lvl>
    <w:lvl w:ilvl="3" w:tplc="E57EA9A0">
      <w:start w:val="1"/>
      <w:numFmt w:val="decimal"/>
      <w:lvlText w:val="%4."/>
      <w:lvlJc w:val="left"/>
      <w:pPr>
        <w:ind w:left="3229" w:hanging="360"/>
      </w:pPr>
    </w:lvl>
    <w:lvl w:ilvl="4" w:tplc="D2467B46">
      <w:start w:val="1"/>
      <w:numFmt w:val="lowerLetter"/>
      <w:lvlText w:val="%5."/>
      <w:lvlJc w:val="left"/>
      <w:pPr>
        <w:ind w:left="3949" w:hanging="360"/>
      </w:pPr>
    </w:lvl>
    <w:lvl w:ilvl="5" w:tplc="A442F068">
      <w:start w:val="1"/>
      <w:numFmt w:val="lowerRoman"/>
      <w:lvlText w:val="%6."/>
      <w:lvlJc w:val="right"/>
      <w:pPr>
        <w:ind w:left="4669" w:hanging="180"/>
      </w:pPr>
    </w:lvl>
    <w:lvl w:ilvl="6" w:tplc="4E22C600">
      <w:start w:val="1"/>
      <w:numFmt w:val="decimal"/>
      <w:lvlText w:val="%7."/>
      <w:lvlJc w:val="left"/>
      <w:pPr>
        <w:ind w:left="5389" w:hanging="360"/>
      </w:pPr>
    </w:lvl>
    <w:lvl w:ilvl="7" w:tplc="76EE2442">
      <w:start w:val="1"/>
      <w:numFmt w:val="lowerLetter"/>
      <w:lvlText w:val="%8."/>
      <w:lvlJc w:val="left"/>
      <w:pPr>
        <w:ind w:left="6109" w:hanging="360"/>
      </w:pPr>
    </w:lvl>
    <w:lvl w:ilvl="8" w:tplc="76C87BB4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EA3C91"/>
    <w:multiLevelType w:val="hybridMultilevel"/>
    <w:tmpl w:val="9BC68530"/>
    <w:lvl w:ilvl="0" w:tplc="F92CD1F2">
      <w:start w:val="1"/>
      <w:numFmt w:val="decimal"/>
      <w:lvlText w:val="%1."/>
      <w:lvlJc w:val="left"/>
      <w:pPr>
        <w:ind w:left="1429" w:hanging="360"/>
      </w:pPr>
    </w:lvl>
    <w:lvl w:ilvl="1" w:tplc="D94E2444">
      <w:start w:val="1"/>
      <w:numFmt w:val="lowerLetter"/>
      <w:lvlText w:val="%2."/>
      <w:lvlJc w:val="left"/>
      <w:pPr>
        <w:ind w:left="2149" w:hanging="360"/>
      </w:pPr>
    </w:lvl>
    <w:lvl w:ilvl="2" w:tplc="AE22053A">
      <w:start w:val="1"/>
      <w:numFmt w:val="lowerRoman"/>
      <w:lvlText w:val="%3."/>
      <w:lvlJc w:val="right"/>
      <w:pPr>
        <w:ind w:left="2869" w:hanging="180"/>
      </w:pPr>
    </w:lvl>
    <w:lvl w:ilvl="3" w:tplc="D8E8DF5C">
      <w:start w:val="1"/>
      <w:numFmt w:val="decimal"/>
      <w:lvlText w:val="%4."/>
      <w:lvlJc w:val="left"/>
      <w:pPr>
        <w:ind w:left="3589" w:hanging="360"/>
      </w:pPr>
    </w:lvl>
    <w:lvl w:ilvl="4" w:tplc="74E625C4">
      <w:start w:val="1"/>
      <w:numFmt w:val="lowerLetter"/>
      <w:lvlText w:val="%5."/>
      <w:lvlJc w:val="left"/>
      <w:pPr>
        <w:ind w:left="4309" w:hanging="360"/>
      </w:pPr>
    </w:lvl>
    <w:lvl w:ilvl="5" w:tplc="382413E0">
      <w:start w:val="1"/>
      <w:numFmt w:val="lowerRoman"/>
      <w:lvlText w:val="%6."/>
      <w:lvlJc w:val="right"/>
      <w:pPr>
        <w:ind w:left="5029" w:hanging="180"/>
      </w:pPr>
    </w:lvl>
    <w:lvl w:ilvl="6" w:tplc="CB7CF710">
      <w:start w:val="1"/>
      <w:numFmt w:val="decimal"/>
      <w:lvlText w:val="%7."/>
      <w:lvlJc w:val="left"/>
      <w:pPr>
        <w:ind w:left="5749" w:hanging="360"/>
      </w:pPr>
    </w:lvl>
    <w:lvl w:ilvl="7" w:tplc="E9FAD4A0">
      <w:start w:val="1"/>
      <w:numFmt w:val="lowerLetter"/>
      <w:lvlText w:val="%8."/>
      <w:lvlJc w:val="left"/>
      <w:pPr>
        <w:ind w:left="6469" w:hanging="360"/>
      </w:pPr>
    </w:lvl>
    <w:lvl w:ilvl="8" w:tplc="B3C04380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BC6"/>
    <w:rsid w:val="0023111B"/>
    <w:rsid w:val="00271463"/>
    <w:rsid w:val="002A1BC6"/>
    <w:rsid w:val="004778E5"/>
    <w:rsid w:val="00487879"/>
    <w:rsid w:val="004A1F2F"/>
    <w:rsid w:val="005478F7"/>
    <w:rsid w:val="005B329C"/>
    <w:rsid w:val="0062653D"/>
    <w:rsid w:val="006658BE"/>
    <w:rsid w:val="007156F8"/>
    <w:rsid w:val="00817AFB"/>
    <w:rsid w:val="008234BD"/>
    <w:rsid w:val="00826CAB"/>
    <w:rsid w:val="00844513"/>
    <w:rsid w:val="008D02E5"/>
    <w:rsid w:val="00A17239"/>
    <w:rsid w:val="00BE6086"/>
    <w:rsid w:val="00C52C74"/>
    <w:rsid w:val="00E71C5E"/>
    <w:rsid w:val="00EA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table" w:customStyle="1" w:styleId="13">
    <w:name w:val="Сетка таблицы1"/>
    <w:basedOn w:val="a1"/>
    <w:next w:val="a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List Paragraph"/>
    <w:basedOn w:val="a"/>
    <w:uiPriority w:val="34"/>
    <w:qFormat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b/>
      <w:bCs/>
      <w:sz w:val="20"/>
      <w:szCs w:val="20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table" w:customStyle="1" w:styleId="13">
    <w:name w:val="Сетка таблицы1"/>
    <w:basedOn w:val="a1"/>
    <w:next w:val="a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List Paragraph"/>
    <w:basedOn w:val="a"/>
    <w:uiPriority w:val="34"/>
    <w:qFormat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b/>
      <w:bCs/>
      <w:sz w:val="20"/>
      <w:szCs w:val="20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D6E14-1986-424E-B869-1DF7F6DC5277}"/>
</file>

<file path=customXml/itemProps2.xml><?xml version="1.0" encoding="utf-8"?>
<ds:datastoreItem xmlns:ds="http://schemas.openxmlformats.org/officeDocument/2006/customXml" ds:itemID="{39526C88-5CEE-4ADA-B28A-ABD791BD2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2661</Words>
  <Characters>15172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Наталия Андреева</cp:lastModifiedBy>
  <cp:revision>2</cp:revision>
  <dcterms:created xsi:type="dcterms:W3CDTF">2023-05-15T06:30:00Z</dcterms:created>
  <dcterms:modified xsi:type="dcterms:W3CDTF">2023-05-15T06:30:00Z</dcterms:modified>
  <cp:category>Файлы документов</cp:category>
</cp:coreProperties>
</file>