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ИНФОРМАЦИЯ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9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об итогах рассмотрения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уведомл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ений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 готовности к принятию на себя обязательств по обслуживанию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межмуниципального маршрута регулярных перевозок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автомобильным транспортом, городским наземным электрическим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9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          транспортом в Чувашской Республике или муниципального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маршрута регулярных перевозок автомобильным транспортом,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городским наземным электрическим транспортом в границах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города Новочебоксарска Чувашской Республики,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города Чебоксары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24 декабря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20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2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г.</w:t>
      </w:r>
      <w:r>
        <w:rPr>
          <w:rFonts w:ascii="PT Astra Serif" w:hAnsi="PT Astra Serif" w:eastAsia="PT Astra Serif" w:cs="PT Astra Serif"/>
          <w:b/>
          <w:sz w:val="26"/>
          <w:szCs w:val="26"/>
        </w:rPr>
        <w:tab/>
        <w:tab/>
        <w:tab/>
        <w:tab/>
        <w:tab/>
        <w:tab/>
        <w:tab/>
        <w:tab/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инистерством транспорта и дорожного 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озяйства Чувашской Республики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(далее – Минтранс Чувашии)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24 декабря 2024 года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официальном сайте в информационно-телекоммуникационной сети «Интернет»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опубликовано предложение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 возможности получен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ия свидетельства об осуществлении перевозок по межмуниципальному маршруту регулярных перевозок и карт межмуниципального маршрута регулярных пе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ревозок без про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ведения открытого конкурса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  <w14:ligatures w14:val="none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Лот № 1 межмуниципальный маршрут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220 «Чебоксары (ул. Гладкова) – Новочебоксарск (Иваново)»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;</w:t>
      </w:r>
      <w:r>
        <w:rPr>
          <w:rFonts w:ascii="PT Astra Serif" w:hAnsi="PT Astra Serif" w:cs="PT Astra Serif"/>
          <w:sz w:val="26"/>
          <w:szCs w:val="26"/>
          <w14:ligatures w14:val="none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Лот № 2 межмуниципальный маршрут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270 «Чебоксары (Альгешево) – Ново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чебоксарск («Сокол»)»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;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Лот № 3 межмуниципальный маршрут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№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330 «Чебоксары (ДКП (пер. Бабушкина, д. 8а г. Чебоксары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 – Синьял-Покровское».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Регистрация уведомлений в электронном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виде осуществлялась в информационно-телекоммуникационной сети «Интернет» на портале «Народный контроль» в разделе «Перевозки»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24 декабря 2024 года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9 ч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30 мин до 1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6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ч 00 мин.</w:t>
      </w:r>
      <w:r>
        <w:rPr>
          <w:rFonts w:ascii="PT Astra Serif" w:hAnsi="PT Astra Serif" w:cs="PT Astra Serif"/>
          <w:sz w:val="26"/>
          <w:szCs w:val="26"/>
          <w14:ligatures w14:val="none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Прием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уведомлений о готовности к принятию на себя обязательств по обслуживанию межмуниципальн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перевозок в Чувашской Республике осуществлялся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Минтрансом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24 декабря 2024 года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9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ч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30 мин до 12 ч 00 мин и с 13 ч 00 мин до 1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6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ч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0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0 мин. по адресу: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г. Чебоксары, пл. Республики, д. 2, кабинет 311.</w:t>
      </w:r>
      <w:r>
        <w:rPr>
          <w:rFonts w:ascii="PT Astra Serif" w:hAnsi="PT Astra Serif" w:cs="PT Astra Serif"/>
          <w:sz w:val="26"/>
          <w:szCs w:val="26"/>
          <w14:ligatures w14:val="none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 результатам рассмотрения зарегистрированных в электронном виде и принятых на бумажных носителях уведомлений принято решение о выда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че свидетельств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 об осуществлении перевозок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 карт маршрута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  <w14:ligatures w14:val="none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о маршруту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220 «Чебоксары (ул. Гладкова) – Новочебоксарск (Иваново)»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ИП Федотову В.В.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;</w:t>
      </w:r>
      <w:r>
        <w:rPr>
          <w:rFonts w:ascii="PT Astra Serif" w:hAnsi="PT Astra Serif" w:cs="PT Astra Serif"/>
          <w:sz w:val="26"/>
          <w:szCs w:val="26"/>
          <w14:ligatures w14:val="none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по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маршрут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у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270 «Чебоксары (Альгешево) – Новочебоксарск («Сокол»)»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  ИП Евдокимовой Н.А.</w:t>
      </w:r>
      <w:r>
        <w:rPr>
          <w:rFonts w:ascii="PT Astra Serif" w:hAnsi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cs="PT Astra Serif"/>
          <w:sz w:val="26"/>
          <w:szCs w:val="26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Уведомлений о готовности к принятию на себя обязательств по обслуживанию межмуниципального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перевозок № 330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«Чебоксары (ДКП</w:t>
        <w:br/>
        <w:t xml:space="preserve">(пер. Бабушкина, д. 8а г. Чебоксары) – Синьял-Покровское»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не поступало.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566" w:bottom="426" w:left="1418" w:header="720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0" t="0" r="0" b="0"/>
              <wp:wrapSquare wrapText="bothSides"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79"/>
                          </w:pPr>
                          <w:r>
                            <w:rPr>
                              <w:rStyle w:val="877"/>
                            </w:rPr>
                            <w:fldChar w:fldCharType="begin"/>
                          </w:r>
                          <w:r>
                            <w:rPr>
                              <w:rStyle w:val="877"/>
                            </w:rPr>
                            <w:instrText xml:space="preserve"> PAGE </w:instrText>
                          </w:r>
                          <w:r>
                            <w:rPr>
                              <w:rStyle w:val="877"/>
                            </w:rPr>
                            <w:fldChar w:fldCharType="separate"/>
                          </w:r>
                          <w:r>
                            <w:rPr>
                              <w:rStyle w:val="877"/>
                            </w:rPr>
                            <w:t xml:space="preserve">2</w:t>
                          </w:r>
                          <w:r>
                            <w:rPr>
                              <w:rStyle w:val="877"/>
                            </w:rPr>
                            <w:fldChar w:fldCharType="end"/>
                          </w:r>
                        </w:p>
                        <w:p>
                          <w:pPr>
                            <w:pStyle w:val="872"/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10pt;mso-position-vertical:absolute;width:18.15pt;height:13.7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879"/>
                    </w:pPr>
                    <w:r>
                      <w:rPr>
                        <w:rStyle w:val="877"/>
                      </w:rPr>
                      <w:fldChar w:fldCharType="begin"/>
                    </w:r>
                    <w:r>
                      <w:rPr>
                        <w:rStyle w:val="877"/>
                      </w:rPr>
                      <w:instrText xml:space="preserve"> PAGE </w:instrText>
                    </w:r>
                    <w:r>
                      <w:rPr>
                        <w:rStyle w:val="877"/>
                      </w:rPr>
                      <w:fldChar w:fldCharType="separate"/>
                    </w:r>
                    <w:r>
                      <w:rPr>
                        <w:rStyle w:val="877"/>
                      </w:rPr>
                      <w:t xml:space="preserve">2</w:t>
                    </w:r>
                    <w:r>
                      <w:rPr>
                        <w:rStyle w:val="877"/>
                      </w:rPr>
                      <w:fldChar w:fldCharType="end"/>
                    </w:r>
                  </w:p>
                  <w:p>
                    <w:pPr>
                      <w:pStyle w:val="87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ind w:left="720"/>
      <w:contextualSpacing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spacing w:after="57"/>
      <w:ind w:left="0" w:right="0" w:firstLine="0"/>
    </w:pPr>
  </w:style>
  <w:style w:type="paragraph" w:styleId="862">
    <w:name w:val="toc 2"/>
    <w:basedOn w:val="872"/>
    <w:next w:val="872"/>
    <w:uiPriority w:val="39"/>
    <w:unhideWhenUsed/>
    <w:pPr>
      <w:spacing w:after="57"/>
      <w:ind w:left="283" w:right="0" w:firstLine="0"/>
    </w:pPr>
  </w:style>
  <w:style w:type="paragraph" w:styleId="863">
    <w:name w:val="toc 3"/>
    <w:basedOn w:val="872"/>
    <w:next w:val="872"/>
    <w:uiPriority w:val="39"/>
    <w:unhideWhenUsed/>
    <w:pPr>
      <w:spacing w:after="57"/>
      <w:ind w:left="567" w:right="0" w:firstLine="0"/>
    </w:pPr>
  </w:style>
  <w:style w:type="paragraph" w:styleId="864">
    <w:name w:val="toc 4"/>
    <w:basedOn w:val="872"/>
    <w:next w:val="872"/>
    <w:uiPriority w:val="39"/>
    <w:unhideWhenUsed/>
    <w:pPr>
      <w:spacing w:after="57"/>
      <w:ind w:left="850" w:right="0" w:firstLine="0"/>
    </w:pPr>
  </w:style>
  <w:style w:type="paragraph" w:styleId="865">
    <w:name w:val="toc 5"/>
    <w:basedOn w:val="872"/>
    <w:next w:val="872"/>
    <w:uiPriority w:val="39"/>
    <w:unhideWhenUsed/>
    <w:pPr>
      <w:spacing w:after="57"/>
      <w:ind w:left="1134" w:right="0" w:firstLine="0"/>
    </w:pPr>
  </w:style>
  <w:style w:type="paragraph" w:styleId="866">
    <w:name w:val="toc 6"/>
    <w:basedOn w:val="872"/>
    <w:next w:val="872"/>
    <w:uiPriority w:val="39"/>
    <w:unhideWhenUsed/>
    <w:pPr>
      <w:spacing w:after="57"/>
      <w:ind w:left="1417" w:right="0" w:firstLine="0"/>
    </w:pPr>
  </w:style>
  <w:style w:type="paragraph" w:styleId="867">
    <w:name w:val="toc 7"/>
    <w:basedOn w:val="872"/>
    <w:next w:val="872"/>
    <w:uiPriority w:val="39"/>
    <w:unhideWhenUsed/>
    <w:pPr>
      <w:spacing w:after="57"/>
      <w:ind w:left="1701" w:right="0" w:firstLine="0"/>
    </w:pPr>
  </w:style>
  <w:style w:type="paragraph" w:styleId="868">
    <w:name w:val="toc 8"/>
    <w:basedOn w:val="872"/>
    <w:next w:val="872"/>
    <w:uiPriority w:val="39"/>
    <w:unhideWhenUsed/>
    <w:pPr>
      <w:spacing w:after="57"/>
      <w:ind w:left="1984" w:right="0" w:firstLine="0"/>
    </w:pPr>
  </w:style>
  <w:style w:type="paragraph" w:styleId="869">
    <w:name w:val="toc 9"/>
    <w:basedOn w:val="872"/>
    <w:next w:val="872"/>
    <w:uiPriority w:val="39"/>
    <w:unhideWhenUsed/>
    <w:pPr>
      <w:spacing w:after="57"/>
      <w:ind w:left="2268" w:right="0" w:firstLine="0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73">
    <w:name w:val="Заголовок 1"/>
    <w:basedOn w:val="872"/>
    <w:next w:val="873"/>
    <w:link w:val="891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character" w:styleId="874">
    <w:name w:val="Основной шрифт абзаца"/>
    <w:next w:val="874"/>
    <w:link w:val="872"/>
    <w:uiPriority w:val="1"/>
    <w:unhideWhenUsed/>
  </w:style>
  <w:style w:type="table" w:styleId="875">
    <w:name w:val="Обычная таблица"/>
    <w:next w:val="875"/>
    <w:link w:val="872"/>
    <w:uiPriority w:val="99"/>
    <w:semiHidden/>
    <w:unhideWhenUsed/>
    <w:tblPr/>
  </w:style>
  <w:style w:type="numbering" w:styleId="876">
    <w:name w:val="Нет списка"/>
    <w:next w:val="876"/>
    <w:link w:val="872"/>
    <w:uiPriority w:val="99"/>
    <w:semiHidden/>
    <w:unhideWhenUsed/>
  </w:style>
  <w:style w:type="character" w:styleId="877">
    <w:name w:val="Номер страницы"/>
    <w:basedOn w:val="874"/>
    <w:next w:val="877"/>
    <w:link w:val="872"/>
  </w:style>
  <w:style w:type="paragraph" w:styleId="878">
    <w:name w:val="Основной текст с отступом 21"/>
    <w:basedOn w:val="872"/>
    <w:next w:val="878"/>
    <w:link w:val="872"/>
    <w:pPr>
      <w:spacing w:after="120" w:line="480" w:lineRule="auto"/>
      <w:ind w:left="283"/>
    </w:pPr>
  </w:style>
  <w:style w:type="paragraph" w:styleId="879">
    <w:name w:val="Нижний колонтитул"/>
    <w:basedOn w:val="872"/>
    <w:next w:val="879"/>
    <w:link w:val="880"/>
    <w:pPr>
      <w:tabs>
        <w:tab w:val="center" w:pos="4677" w:leader="none"/>
        <w:tab w:val="right" w:pos="9355" w:leader="none"/>
      </w:tabs>
    </w:pPr>
  </w:style>
  <w:style w:type="character" w:styleId="880">
    <w:name w:val="Нижний колонтитул Знак"/>
    <w:next w:val="880"/>
    <w:link w:val="879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81">
    <w:name w:val="Верхний колонтитул"/>
    <w:basedOn w:val="872"/>
    <w:next w:val="881"/>
    <w:link w:val="882"/>
    <w:pPr>
      <w:tabs>
        <w:tab w:val="center" w:pos="4677" w:leader="none"/>
        <w:tab w:val="right" w:pos="9355" w:leader="none"/>
      </w:tabs>
    </w:pPr>
  </w:style>
  <w:style w:type="character" w:styleId="882">
    <w:name w:val="Верхний колонтитул Знак"/>
    <w:next w:val="882"/>
    <w:link w:val="881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83">
    <w:name w:val="Строгий"/>
    <w:next w:val="883"/>
    <w:link w:val="872"/>
    <w:uiPriority w:val="22"/>
    <w:qFormat/>
    <w:rPr>
      <w:b/>
      <w:bCs/>
    </w:rPr>
  </w:style>
  <w:style w:type="paragraph" w:styleId="884">
    <w:name w:val="Обычный (веб)"/>
    <w:basedOn w:val="872"/>
    <w:next w:val="884"/>
    <w:link w:val="872"/>
    <w:uiPriority w:val="99"/>
    <w:unhideWhenUsed/>
    <w:pPr>
      <w:spacing w:after="360"/>
    </w:pPr>
    <w:rPr>
      <w:lang w:eastAsia="ru-RU"/>
    </w:rPr>
  </w:style>
  <w:style w:type="paragraph" w:styleId="885">
    <w:name w:val="Текст выноски"/>
    <w:basedOn w:val="872"/>
    <w:next w:val="885"/>
    <w:link w:val="886"/>
    <w:uiPriority w:val="99"/>
    <w:semiHidden/>
    <w:unhideWhenUsed/>
    <w:rPr>
      <w:rFonts w:ascii="Tahoma" w:hAnsi="Tahoma" w:cs="Tahoma"/>
      <w:sz w:val="16"/>
      <w:szCs w:val="16"/>
    </w:rPr>
  </w:style>
  <w:style w:type="character" w:styleId="886">
    <w:name w:val="Текст выноски Знак"/>
    <w:next w:val="886"/>
    <w:link w:val="885"/>
    <w:uiPriority w:val="99"/>
    <w:semiHidden/>
    <w:rPr>
      <w:rFonts w:ascii="Tahoma" w:hAnsi="Tahoma" w:eastAsia="Times New Roman" w:cs="Tahoma"/>
      <w:sz w:val="16"/>
      <w:szCs w:val="16"/>
      <w:lang w:eastAsia="zh-CN"/>
    </w:rPr>
  </w:style>
  <w:style w:type="character" w:styleId="887">
    <w:name w:val="copy_target"/>
    <w:basedOn w:val="874"/>
    <w:next w:val="887"/>
    <w:link w:val="872"/>
  </w:style>
  <w:style w:type="character" w:styleId="888">
    <w:name w:val="Гиперссылка"/>
    <w:next w:val="888"/>
    <w:link w:val="872"/>
    <w:uiPriority w:val="99"/>
    <w:semiHidden/>
    <w:unhideWhenUsed/>
    <w:rPr>
      <w:color w:val="0000ff"/>
      <w:u w:val="single"/>
    </w:rPr>
  </w:style>
  <w:style w:type="paragraph" w:styleId="889">
    <w:name w:val="Без интервала"/>
    <w:next w:val="889"/>
    <w:link w:val="872"/>
    <w:uiPriority w:val="1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90">
    <w:name w:val="Char Char Знак"/>
    <w:basedOn w:val="872"/>
    <w:next w:val="890"/>
    <w:link w:val="872"/>
    <w:rPr>
      <w:rFonts w:ascii="Verdana" w:hAnsi="Verdana" w:cs="Verdana"/>
      <w:sz w:val="20"/>
      <w:szCs w:val="20"/>
      <w:lang w:val="en-US" w:eastAsia="en-US"/>
    </w:rPr>
  </w:style>
  <w:style w:type="character" w:styleId="891">
    <w:name w:val="Заголовок 1 Знак"/>
    <w:next w:val="891"/>
    <w:link w:val="87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revision>5</cp:revision>
  <dcterms:created xsi:type="dcterms:W3CDTF">2024-03-25T06:18:00Z</dcterms:created>
  <dcterms:modified xsi:type="dcterms:W3CDTF">2024-12-24T14:10:00Z</dcterms:modified>
  <cp:version>917504</cp:version>
</cp:coreProperties>
</file>